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7ac9" w14:textId="f1d7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постановление акимата от 16 января 2009 года № 14 "Об утверждении перечня рыбохозяйственных водоемов местного значения"</w:t>
      </w:r>
    </w:p>
    <w:p>
      <w:pPr>
        <w:spacing w:after="0"/>
        <w:ind w:left="0"/>
        <w:jc w:val="both"/>
      </w:pPr>
      <w:r>
        <w:rPr>
          <w:rFonts w:ascii="Times New Roman"/>
          <w:b w:val="false"/>
          <w:i w:val="false"/>
          <w:color w:val="000000"/>
          <w:sz w:val="28"/>
        </w:rPr>
        <w:t>Постановление акимата Костанайской области от 24 сентября 2012 года № 412. Зарегистрировано Департаментом юстиции Костанайской области 10 октября 2012 года № 3844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10 Закона Республики Казахстан от 9 июля 2004 года "Об охране, воспроизводстве и использовании животного мира"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Костанайской области "Об утверждении перечня рыбохозяйственных водоемов местного значения" от 16 января 2009 года № 14 (зарегистрировано в Реестре государственной регистрации нормативных правовых актов под № 3666, опубликовано 29 января 2009 года в газете "Костанайские новости", 30 января 2009 года в газете "Қостанай таңы") следующие изменение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рыбохозяйственных водоемов местного значения,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строку, порядковый номер 859, исключить;</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895, 896, 897, 898, 899, 900, 901, 902, 903, 904, 905, 906, 907, 908, 909, 910, 911, 912, 913, 914, 915, 916, 917, 918, 919, 920, 921, 922, 923, 924, 925, 926,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5924"/>
        <w:gridCol w:w="1191"/>
        <w:gridCol w:w="3843"/>
      </w:tblGrid>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Кугалыколь</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Шакпак №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Шакпак №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Карасу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Котлован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Верхнее Миялы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Нижнее Миялы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Камысты-Аят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Аша с разливами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Сулы с разливами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Котлован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Эдем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Котлован Зеленовский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Питьевое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Котлован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Зуевский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между озерами Камышное</w:t>
            </w:r>
            <w:r>
              <w:br/>
            </w:r>
            <w:r>
              <w:rPr>
                <w:rFonts w:ascii="Times New Roman"/>
                <w:b w:val="false"/>
                <w:i w:val="false"/>
                <w:color w:val="000000"/>
                <w:sz w:val="20"/>
              </w:rPr>
              <w:t>
и Оралбиколь</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Камышное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Оралбиколь</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Карабуга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Акжол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Аксаковка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Девятка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Новый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Первая балка №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 Зимний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Котлован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Большой Танат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3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Саз</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46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Аят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p>
        </w:tc>
      </w:tr>
      <w:tr>
        <w:trPr>
          <w:trHeight w:val="46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Горькое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p>
        </w:tc>
      </w:tr>
      <w:tr>
        <w:trPr>
          <w:trHeight w:val="45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Шортабулат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Костанайской области                       Н. Садуакасов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"Тобол–Торгайская межобластная</w:t>
      </w:r>
      <w:r>
        <w:br/>
      </w:r>
      <w:r>
        <w:rPr>
          <w:rFonts w:ascii="Times New Roman"/>
          <w:b w:val="false"/>
          <w:i w:val="false"/>
          <w:color w:val="000000"/>
          <w:sz w:val="28"/>
        </w:rPr>
        <w:t>
</w:t>
      </w:r>
      <w:r>
        <w:rPr>
          <w:rFonts w:ascii="Times New Roman"/>
          <w:b w:val="false"/>
          <w:i/>
          <w:color w:val="000000"/>
          <w:sz w:val="28"/>
        </w:rPr>
        <w:t>      бассейновая инспекция рыбного</w:t>
      </w:r>
      <w:r>
        <w:br/>
      </w:r>
      <w:r>
        <w:rPr>
          <w:rFonts w:ascii="Times New Roman"/>
          <w:b w:val="false"/>
          <w:i w:val="false"/>
          <w:color w:val="000000"/>
          <w:sz w:val="28"/>
        </w:rPr>
        <w:t>
</w:t>
      </w:r>
      <w:r>
        <w:rPr>
          <w:rFonts w:ascii="Times New Roman"/>
          <w:b w:val="false"/>
          <w:i/>
          <w:color w:val="000000"/>
          <w:sz w:val="28"/>
        </w:rPr>
        <w:t>      хозяйства" Комитета рыбного хозяйства</w:t>
      </w:r>
      <w:r>
        <w:br/>
      </w:r>
      <w:r>
        <w:rPr>
          <w:rFonts w:ascii="Times New Roman"/>
          <w:b w:val="false"/>
          <w:i w:val="false"/>
          <w:color w:val="000000"/>
          <w:sz w:val="28"/>
        </w:rPr>
        <w:t>
</w:t>
      </w:r>
      <w:r>
        <w:rPr>
          <w:rFonts w:ascii="Times New Roman"/>
          <w:b w:val="false"/>
          <w:i/>
          <w:color w:val="000000"/>
          <w:sz w:val="28"/>
        </w:rPr>
        <w:t>      Министерства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Н. Сарсенов</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"Тобол–Торгайская бассейновая инспекция</w:t>
      </w:r>
      <w:r>
        <w:br/>
      </w:r>
      <w:r>
        <w:rPr>
          <w:rFonts w:ascii="Times New Roman"/>
          <w:b w:val="false"/>
          <w:i w:val="false"/>
          <w:color w:val="000000"/>
          <w:sz w:val="28"/>
        </w:rPr>
        <w:t>
</w:t>
      </w:r>
      <w:r>
        <w:rPr>
          <w:rFonts w:ascii="Times New Roman"/>
          <w:b w:val="false"/>
          <w:i/>
          <w:color w:val="000000"/>
          <w:sz w:val="28"/>
        </w:rPr>
        <w:t>      по регулированию использования и охране</w:t>
      </w:r>
      <w:r>
        <w:br/>
      </w:r>
      <w:r>
        <w:rPr>
          <w:rFonts w:ascii="Times New Roman"/>
          <w:b w:val="false"/>
          <w:i w:val="false"/>
          <w:color w:val="000000"/>
          <w:sz w:val="28"/>
        </w:rPr>
        <w:t>
</w:t>
      </w:r>
      <w:r>
        <w:rPr>
          <w:rFonts w:ascii="Times New Roman"/>
          <w:b w:val="false"/>
          <w:i/>
          <w:color w:val="000000"/>
          <w:sz w:val="28"/>
        </w:rPr>
        <w:t>      водных ресурсов" Комитета по водным</w:t>
      </w:r>
      <w:r>
        <w:br/>
      </w:r>
      <w:r>
        <w:rPr>
          <w:rFonts w:ascii="Times New Roman"/>
          <w:b w:val="false"/>
          <w:i w:val="false"/>
          <w:color w:val="000000"/>
          <w:sz w:val="28"/>
        </w:rPr>
        <w:t>
</w:t>
      </w:r>
      <w:r>
        <w:rPr>
          <w:rFonts w:ascii="Times New Roman"/>
          <w:b w:val="false"/>
          <w:i/>
          <w:color w:val="000000"/>
          <w:sz w:val="28"/>
        </w:rPr>
        <w:t>      ресурсам Министерства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Г. Оспанбекова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