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abe1" w14:textId="2b5a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мая 2012 года № 252. Зарегистрировано Департаментом юстиции Костанайской области 15 июня 2012 года № 3814.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Костанайского филиала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"Тобыл-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Торгайский департамент экологии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Каримов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природопользования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Бондаренко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</w:t>
      </w:r>
      <w:r>
        <w:br/>
      </w:r>
      <w:r>
        <w:rPr>
          <w:rFonts w:ascii="Times New Roman"/>
          <w:b/>
          <w:i w:val="false"/>
          <w:color w:val="000000"/>
        </w:rPr>
        <w:t>в пределах земельных участков крестьянских</w:t>
      </w:r>
      <w:r>
        <w:br/>
      </w:r>
      <w:r>
        <w:rPr>
          <w:rFonts w:ascii="Times New Roman"/>
          <w:b/>
          <w:i w:val="false"/>
          <w:color w:val="000000"/>
        </w:rPr>
        <w:t>хозяйств "Цой Георгий Сергеевич", "Шалыгин Владимир</w:t>
      </w:r>
      <w:r>
        <w:br/>
      </w:r>
      <w:r>
        <w:rPr>
          <w:rFonts w:ascii="Times New Roman"/>
          <w:b/>
          <w:i w:val="false"/>
          <w:color w:val="000000"/>
        </w:rPr>
        <w:t>Владимирович", "Простор" и товарищества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"Альба" в Новоильинском сельском</w:t>
      </w:r>
      <w:r>
        <w:br/>
      </w:r>
      <w:r>
        <w:rPr>
          <w:rFonts w:ascii="Times New Roman"/>
          <w:b/>
          <w:i w:val="false"/>
          <w:color w:val="000000"/>
        </w:rPr>
        <w:t>округе Тарановского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Новоильинском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"Цой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"Простор"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"Шалыгин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"Цой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"Шалыгин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водоохранной зоны и полосы реки</w:t>
      </w:r>
      <w:r>
        <w:br/>
      </w:r>
      <w:r>
        <w:rPr>
          <w:rFonts w:ascii="Times New Roman"/>
          <w:b/>
          <w:i w:val="false"/>
          <w:color w:val="000000"/>
        </w:rPr>
        <w:t>Тобол в пределах земельных участков крестьянских хозяйств</w:t>
      </w:r>
      <w:r>
        <w:br/>
      </w:r>
      <w:r>
        <w:rPr>
          <w:rFonts w:ascii="Times New Roman"/>
          <w:b/>
          <w:i w:val="false"/>
          <w:color w:val="000000"/>
        </w:rPr>
        <w:t>"Цой Георгий Сергеевич", "Шалыгин Владимир Владимирович",</w:t>
      </w:r>
      <w:r>
        <w:br/>
      </w:r>
      <w:r>
        <w:rPr>
          <w:rFonts w:ascii="Times New Roman"/>
          <w:b/>
          <w:i w:val="false"/>
          <w:color w:val="000000"/>
        </w:rPr>
        <w:t>"Простор" и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"Альба" в Новоильинском сельском округе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 объектов по использованию возобновляемых источников энергии (гидродинамической энергии воды), а также рекреационных зон на водном объекте.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Водный кодекс);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 в области использования и охраны водного фонда,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