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45e3" w14:textId="2ea4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Мангистауской области от 29 декабря 2012 года за № 352. Зарегистрировано Департаментом юстиции Мангистауской области 23 января 2013 года N 2202.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Мангистауской области от 15.08.2013 № 244.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«Об информатизации»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регламент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промышленности Мангистауской области (Байжаунова Г.М.) обеспечить в установленном законодательством порядке государственную регистрацию настоящего постановления в органах юстиции и официальное опубликование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Канешева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области                             Б. Мухамеджанов.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Сарсенов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«29» декабря 2012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«29» декабря 2012 года № 352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лицензиина осуществление вида деятельности по сбору (заготовке),хранению, переработке и реализации юридическими лицамилома и отходов цветных и черных металлов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лицензии, переоформление, выдача дубликатов лицензиина осуществление вида деятельности по сбору (заготовке),хранению, переработке и реализации юридическими лицамилома и отходов цветных и черных металлов» (далее – услуга) оказывается государственным учреждением «Управление предпринимательства и промышленности Мангистауской области» (далее – услугодатель), а также через веб-портал «электронного правительства» www.e.gov.kz или веб-портал «Е-лицензирование» www.elicense.kz.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Данная услуга оказывается на основании Закона Республики Казахстан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лицензировании»</w:t>
      </w:r>
      <w:r>
        <w:rPr>
          <w:rFonts w:ascii="Times New Roman"/>
          <w:b w:val="false"/>
          <w:i w:val="false"/>
          <w:color w:val="000000"/>
          <w:sz w:val="28"/>
        </w:rPr>
        <w:t>, стандарта государственнойуслуги «Выдача лицензии, переоформление, выдача дубликатов лицензиина осуществление вида деятельности по сбору (заготовке), хранению, переработке и реализации юридическими лицамилома и отходов цветных и черных металлов», утвержденного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1130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услуги: транзакционная.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регламентеэлектронной государственной услуги «Выдача лицензии, переоформление, выдача дубликатов лицензиина осуществление вида деятельности по сбору (заготовке),хранению, переработке и реализации юридическими лицамилома и отходов цветных и черных металлов»(далее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база данных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нихактуальных и достоверных сведений органам государственного управленияи прочим субъектам в рамках их полномочий и в соответствии с законодательством Республики Казахстан (далее – ГБД ЮЛ);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получатель – юридическое лицо, которому оказывается электронная государственная услуга;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бизнес-идентификационный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электронный документ– документ, в котором информация представлена в электронно–цифровой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электронная государственная услуга – государственная услуга, оказываемая в электронной форме с применением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Единая нотариальная информационная система–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палат(далее – ЕНИС);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структурно–функциональные единицы –перечень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услуги(далее – СФЕ);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АРМ – автоматизированное рабочее место.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электроннойгосударственной услуги 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Пошаговые действия и решения через ПЭП (диаграмма № 1 функционального взаимодействия при оказании электронной государственной услуги)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ПЭП подлинности данных о зарегистрированном получателе через логин (БИН)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ПЭПом сообщения об отказе в авторизации в связи с имеющимися нарушениями в данных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учетомее структуры и форматных требований, прикреплением к форме запроса необходимых документов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оплата услуги на ПШЭП, а затем эта информация поступает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в ИС ГБД «Е-лицензирование» факта оплаты за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выбор 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формирование сообщения об отказе в запрашиваемой услуге в связи с не подтверждением подлинности ЭЦП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удостоверение (подписание) посредством ЭЦП получателя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условие 4 – проверка услугодателем соответствия получателя квалификационным требованиям и основаниям для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 приложении 2 к настоящему Регламенту: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1 – проверка в ИС ГБД «Е-лицензирование» подлинности данных о зарегистрированном сотруднике услугодателя через логин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 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– направление запроса через ШЭП в ГБД ЮЛ о данных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наличия данных получателя в ГБД ЮЛ, данных доверенности в ЕНИС;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– формирование сообщения о невозможности получения данных в связи с отсутствием данных получателя в 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7 – регистрация запроса в ИС ГБД «Е-лицензирование» и обработка услуги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услугодателем соответствия получателя квалификационным требованиям и основаниям для выдачи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обработки запроса получателю предоставляется возможность просмотреть результаты обработки запроса следующим образом:после нажатия кнопки «открыть» – результат запроса выводится на экран дисплея; после нажатия кнопки «сохранить» – результат запроса сохраняется на заданном получателем магнитном носителе в формате AdobeAcrobat.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электронной государственной услуги можно получить по телефону саll–центра:(1414). </w:t>
      </w:r>
    </w:p>
    <w:bookmarkEnd w:id="7"/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 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СФЕ, которые участвуют в процессе оказания электронной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ПШЭП;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ГБД ЮЛ;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ЕНИС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14.Результаты оказания услуги потребителям измеряются показателями качества и доступности в соответствии с приложением 3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Требования, предъявляемые к процессу оказания услуги потребителям: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конфиденциальность (защита от несанкционированного получения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целостность (защита от несанкционированного изменения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доступность (защита от несанкционированного удержания информации и ресурсов).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Техническое условие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выход в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БИН у лица, которому выдается электронная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авторизация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пользователя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банковской карточки или текущего счета в банке второго уровня. 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 деятельности по сбору (заготовке),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хранению,переработке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016"/>
        <w:gridCol w:w="1890"/>
        <w:gridCol w:w="1764"/>
        <w:gridCol w:w="1764"/>
        <w:gridCol w:w="1512"/>
        <w:gridCol w:w="1638"/>
        <w:gridCol w:w="1512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потока, работ)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имеющимисянарушениями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  уведомления об успешном формировании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завершении действия.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 секунд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  секунд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  секунд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есть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 авторизация прошла успешно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в ЭЦП ошибка,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968"/>
        <w:gridCol w:w="1837"/>
        <w:gridCol w:w="1444"/>
        <w:gridCol w:w="2363"/>
        <w:gridCol w:w="2494"/>
        <w:gridCol w:w="2232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потока, работ)</w:t>
            </w:r>
          </w:p>
        </w:tc>
      </w:tr>
      <w:tr>
        <w:trPr>
          <w:trHeight w:val="49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79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электронного документа заявление (запроса потребителя)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«Е-лицензирование» и обработка запроса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«Е-лицензирование»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сообщения об отказе в связи с имеющимися нарушениями в данных потребителя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ИС«Е-лицензирование»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(электронная лицензия)</w:t>
            </w:r>
          </w:p>
        </w:tc>
      </w:tr>
      <w:tr>
        <w:trPr>
          <w:trHeight w:val="14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 секунд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2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2.Описание действий СФЕ через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968"/>
        <w:gridCol w:w="2494"/>
        <w:gridCol w:w="2100"/>
        <w:gridCol w:w="1575"/>
        <w:gridCol w:w="1969"/>
        <w:gridCol w:w="2232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потока, работ)</w:t>
            </w:r>
          </w:p>
        </w:tc>
      </w:tr>
      <w:tr>
        <w:trPr>
          <w:trHeight w:val="49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ЮЛ/ЕНИС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отказе  в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имеющимися нарушениями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сотрудником услугодателя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и ЕНИС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 отказе в связи с имеющимися нарушениями в данных</w:t>
            </w:r>
          </w:p>
        </w:tc>
      </w:tr>
      <w:tr>
        <w:trPr>
          <w:trHeight w:val="14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запрашиваемой электронной государственной услуге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 секунд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10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Проверка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подлинности данных логина и пароля сотрудника услугодателя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948"/>
        <w:gridCol w:w="2728"/>
        <w:gridCol w:w="2598"/>
        <w:gridCol w:w="2468"/>
        <w:gridCol w:w="259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потока, работ)</w:t>
            </w:r>
          </w:p>
        </w:tc>
      </w:tr>
      <w:tr>
        <w:trPr>
          <w:trHeight w:val="4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и обработка услуги в ИС ГБД «Е-лицензирование»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отказе в запрашиваемой услуге в связи с имеющимися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нарушениями в данных потребителя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лицензия.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10-15секунд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10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8– если в 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отсутствуют данные по запросу, 9 –если данные по запросу найдены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лицамилома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отходов цветных и черных металлов»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 xml:space="preserve">
(схему смотрите в бумажном варианте) </w:t>
      </w:r>
    </w:p>
    <w:bookmarkEnd w:id="12"/>
    <w:bookmarkStart w:name="z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(схему смотрите в бумажном варианте)</w:t>
      </w:r>
    </w:p>
    <w:bookmarkEnd w:id="13"/>
    <w:bookmarkStart w:name="z9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(условные обозначения смотрите в бумажном варианте)  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лицамилома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отходов цветных и черных металлов»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9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анкеты для определения показателей электронной государственной услуги: «качество» и «доступность»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