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160a" w14:textId="f861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2011 года N 51-1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марта 2012 года N 3-2. Зарегистрировано Департаментом юстиции Кызылординской области 10 апреля 2012 года за N 10-6-207. Прекращено действие по истечении срока действия (письмо Жалагашского районного маслихата Кызылординской области от 24 января 2013 года N 321)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Жалагашского районного маслихата Кызылординской области от 24.01.2013 N 321).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11 января 2012 года N 2-3, от 14 января 2012 года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4 310 608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881 991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3 421 041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4 339 386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-90 682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90 682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31 460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>-следующего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"1-2. Увеличить годовой прогноз дохода бюджета района на 2012 год по налогу на имущество на 95 000 тысяч тенге и по прочим неналоговым поступлениям на 325 тысяч тенге, всего 95 325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1-3. Дополнительные расходы на увеличение средств бюджета района на 2012 год направить на следующее бюджетные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обеспечению деятельности акима района (города областного значения)"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"Капитальные расходы государственного органа" 3 200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обеспечению деятельности акима района в городе, города районного значения, поселка, аула (села), аульного (сельского) округа" 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экономики и бюджетного планирования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значения)"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"Капитальные расходы государственного органа" 150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"Обеспечение дошкольного воспитания и обучения" 10 570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области образования" 242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"Социальная помощь и социальное обеспечение":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занятости и социальных программ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области обеспечения занятости и реализации социальных программ для населения" 1 104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"Благоустройство и озеленение населенных пунктов" 5 150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"Функционирование системы водоснабжения и водоотведения" 1 400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"Благоустройство и озеленение населенных пунктов" 53 369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культуры и развития языков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"Поддержка культурно-досуговой работы" 5 565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"Развитие государственного языка и других языков народа Казахстана"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внутренней политики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"Капитальные расходы государственного органа" 1 020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физической культуры и спорта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сфере физической культуры и спорта" 720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"Капитальные расходы государственного органа" 1 950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ветеринарии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сфере ветеринарии" 2 713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"Организация отлова и уничтожения бродячих собак и кошек" 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"Проведение ветеринарных мероприятий по энзоотическим болезням животных" 1 372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"Обеспечение функционирования автомобильных дорог в городах районного значения, поселках, аулах (селах), аульных (сельских) округах" 3 600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"Организация внутрипоселковых (внутригородских), пригородных и внутрирайонных общественных пассажирских перевозок" 320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"Трансферты":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"Возврат неиспользованных (недоиспользованных) целевых трансфертов" 325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1-4.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2 806 тысяч тенге с бюджетной программы "Услуги по реализации государственной политики на местном уровне в области образования" и перевести указанную сумму в бюджетную программу "Общеобразовательное обучение".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занятости и социальных программ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720 тысяч тенге с бюджетной программы "Программа занятости" и перевести указанную сумму в бюджетную программу "Услуги по реализации государственной политики на местном уровне в области обеспечения занятости и реализации социальных программ для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1-5. По администратору бюджетных программ "Отдел 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47 257 тысяч тенге с бюджетной программы "Строительство и (или) приобретение жилья государственного коммунального жилищного фонда".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ІІІ-сессии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 Ж. ТУРЕМУРАТОВ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 xml:space="preserve">Жалагашского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</w:t>
      </w:r>
      <w:r>
        <w:rPr>
          <w:rFonts w:ascii="Times New Roman"/>
          <w:b w:val="false"/>
          <w:i/>
          <w:color w:val="000000"/>
          <w:sz w:val="28"/>
        </w:rPr>
        <w:t xml:space="preserve">маслихата                          К. СУЛЕЙМЕНОВ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"19" марта 2012 года N 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2011 года N 51-1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70"/>
        <w:gridCol w:w="9004"/>
        <w:gridCol w:w="1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4310608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881991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3421041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3421041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31"/>
        <w:gridCol w:w="754"/>
        <w:gridCol w:w="8796"/>
        <w:gridCol w:w="187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4339386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295714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62027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174704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2606493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342126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2133749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271023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63690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63835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282267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220547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125644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47036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24630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477895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241502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29935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93074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99797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99797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99797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-90682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"19" марта 2012 года N 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2011 года N 51-1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аппарата акимов поселка и аульных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327"/>
        <w:gridCol w:w="1239"/>
        <w:gridCol w:w="1170"/>
        <w:gridCol w:w="1170"/>
        <w:gridCol w:w="948"/>
        <w:gridCol w:w="681"/>
        <w:gridCol w:w="1149"/>
        <w:gridCol w:w="1152"/>
        <w:gridCol w:w="1674"/>
      </w:tblGrid>
      <w:tr>
        <w:trPr>
          <w:trHeight w:val="6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(села),аульного (сельского)округа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Содержанияе мест захоронений и погребение безродных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поселках, аулах (селах), аульных (сельских)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длярешение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 Жалагаш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имена Шаменов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41276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