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f8d638" w14:textId="af8d63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Жалагашского районного маслихата от 20 декабря 2011 года N 51-1 "О бюджете района на 2012-2014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Жалагашского районного маслихата Кызылординской области от 13 января 2012 года N 52-1. Зарегистрировано Департаментом юстиции Кызылординской области 30 января 2012 года за N 10-6-202. Прекращено действие по истечении срока действия (письмо Жалагашского районного маслихата Кызылординской области от 24 января 2013 года N 321)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Сноска. Прекращено действие по истечении срока действия (письмо  Жалагашского районного маслихата Кызылординской области от 24.01.2013 N 321).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РЦПИ: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сохранена авторская орфография и пунктуация.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109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 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 и решением Кызылординского областного маслихата от 23 декабря 2011 года </w:t>
      </w:r>
      <w:r>
        <w:rPr>
          <w:rFonts w:ascii="Times New Roman"/>
          <w:b w:val="false"/>
          <w:i w:val="false"/>
          <w:color w:val="000000"/>
          <w:sz w:val="28"/>
        </w:rPr>
        <w:t>N 342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внесении изменений и дополнениий в решение Кызылординского областного маслихата от 6 декабря 2011 года N 330 "Об областном бюджете на 2012-2014 годы" Жалагашский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 решение Жалагашского районного маслихата от 20 декабря 2011 года </w:t>
      </w:r>
      <w:r>
        <w:rPr>
          <w:rFonts w:ascii="Times New Roman"/>
          <w:b w:val="false"/>
          <w:i w:val="false"/>
          <w:color w:val="000000"/>
          <w:sz w:val="28"/>
        </w:rPr>
        <w:t>N 51-1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бюджете района на 2012-2014 годы" (зарегистрировано в Реестре государственной регистрации нормативных правовых актов за номером N 10-6-200, опубликовано в газете "Жалагаш жаршысы" от 11 января 2012 года N 2-3, от 14 января 2012 года N 4) следующие изменения и дополнения: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"1. Утвердить бюджет района на 2012-2014 годы согласно приложениям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2012 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доходы – 4 397 071 тысяч тенге, в том числе по: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786 991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3 529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3 719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3 602 832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затраты – 4 394 679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92 784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99 507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6 723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-90 392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финансирование дефицита (использование профицита) бюджета </w:t>
      </w:r>
      <w:r>
        <w:rPr>
          <w:rFonts w:ascii="Times New Roman"/>
          <w:b/>
          <w:i w:val="false"/>
          <w:color w:val="000000"/>
          <w:sz w:val="28"/>
        </w:rPr>
        <w:t xml:space="preserve">- </w:t>
      </w:r>
      <w:r>
        <w:rPr>
          <w:rFonts w:ascii="Times New Roman"/>
          <w:b w:val="false"/>
          <w:i w:val="false"/>
          <w:color w:val="000000"/>
          <w:sz w:val="28"/>
        </w:rPr>
        <w:t>90 392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99 507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9 115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движение остатков бюджетных средств-0.".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1 в редакции решения Жалагашского районного маслихата Кызылординской области от 23.04.2012 </w:t>
      </w:r>
      <w:r>
        <w:rPr>
          <w:rFonts w:ascii="Times New Roman"/>
          <w:b w:val="false"/>
          <w:i w:val="false"/>
          <w:color w:val="000000"/>
          <w:sz w:val="28"/>
        </w:rPr>
        <w:t>N 5-2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01.01.2012).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 </w:t>
      </w:r>
      <w:r>
        <w:rPr>
          <w:rFonts w:ascii="Times New Roman"/>
          <w:b w:val="false"/>
          <w:i w:val="false"/>
          <w:color w:val="000000"/>
          <w:sz w:val="28"/>
        </w:rPr>
        <w:t>пунктом 3-1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"3-1. Учесть, что в бюджет района на 2012 год за счет средств республиканского бюджета предусмотрены целевые текущие трансферты в следующих размерах: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на проведение противоэпизоотических мероприятий 31 281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для реализации мер социальной поддержки специалистов 15 750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на предоставление специальных социальных услуг 8 002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на капитальный и средний ремонт автомобильных дорог районного значения 75 777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на реализацию государственного образовательного заказа в дошкольных организациях образования 65 074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на образование всего 22 218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оснащение учебным оборудованием кабинетов физики, химии, биологии в государственных учреждениях основного среднего и общего среднего образования 12 291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обеспечение оборудованием, программным обеспечением детей-инвалидов, обучающихся на дому 9 927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на ежемесячную выплату денежных средств опекунам (попечителям) на содержание ребенка-сироты (детей-сирот), и ребенка (детей), оставшегося без попечения родителей 10 711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на увеличение размера доплаты за квалификационную категорию учителям школ и воспитателям дошкольных организаций образования 30 029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на реализацию мероприятий в рамках Программы занятости 2020 всего 47 478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частичное субсидирование заработной платы 25 184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обеспечение деятельности центров занятости населения 11 144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для молодежной практики 11 150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на решение вопросов обустройства аульных (сельских) округов в реализацию мер по содействию экономическому развитию регионов в рамках Программы "Развитие регионов" 4 858 тысяч тенге.".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 </w:t>
      </w:r>
      <w:r>
        <w:rPr>
          <w:rFonts w:ascii="Times New Roman"/>
          <w:b w:val="false"/>
          <w:i w:val="false"/>
          <w:color w:val="000000"/>
          <w:sz w:val="28"/>
        </w:rPr>
        <w:t>пунктом 4-1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"4-1. Учесть, что в бюджет района на 2012 год за счет средств республиканского бюджета предусмотрены целевые трансферты на развитие и бюджетные кредиты в следующих размерах: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реконструкцию автомобильной дороги "Самара - Шымкент"- "Аккошқар-Жанадария" 203 510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для реализации мер социальной поддержки специалистов 99 507 тысяч тенге.".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приложение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новых редакциях согласно приложениям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Главному специалисту аппарата Жалагашского районного маслихата (Б.Мукашев) обеспечить государственную регистрацию настоящего решения в органах Юстиции и его дальнейшее официальное опубликование в средствах массовой информаций, включая интернет-ресурсы.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2012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Председатель ХХХХХІІ-сессии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      А. МЫХАНОВА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      К. СУЛЕЙМЕНОВ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 решению Жалагашского районного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маслихата от "13" января 2012 года N 52-1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 решению Жалагашского районного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маслихата от 20 декабря 2011 года N 51-1</w:t>
      </w:r>
    </w:p>
    <w:bookmarkStart w:name="z9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   
Бюджет района на 2012 год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78"/>
        <w:gridCol w:w="689"/>
        <w:gridCol w:w="689"/>
        <w:gridCol w:w="8847"/>
        <w:gridCol w:w="193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Сумма, тыс тенге
</w:t>
            </w:r>
          </w:p>
        </w:tc>
      </w:tr>
      <w:tr>
        <w:trPr>
          <w:trHeight w:val="30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Класс</w:t>
            </w:r>
          </w:p>
        </w:tc>
      </w:tr>
      <w:tr>
        <w:trPr>
          <w:trHeight w:val="30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Подкласс</w:t>
            </w:r>
          </w:p>
        </w:tc>
      </w:tr>
      <w:tr>
        <w:trPr>
          <w:trHeight w:val="255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
</w:t>
            </w:r>
          </w:p>
        </w:tc>
      </w:tr>
      <w:tr>
        <w:trPr>
          <w:trHeight w:val="180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Доходы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4397071</w:t>
            </w:r>
          </w:p>
        </w:tc>
      </w:tr>
      <w:tr>
        <w:trPr>
          <w:trHeight w:val="180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786991</w:t>
            </w:r>
          </w:p>
        </w:tc>
      </w:tr>
      <w:tr>
        <w:trPr>
          <w:trHeight w:val="180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140057</w:t>
            </w:r>
          </w:p>
        </w:tc>
      </w:tr>
      <w:tr>
        <w:trPr>
          <w:trHeight w:val="180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140057</w:t>
            </w:r>
          </w:p>
        </w:tc>
      </w:tr>
      <w:tr>
        <w:trPr>
          <w:trHeight w:val="180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111219</w:t>
            </w:r>
          </w:p>
        </w:tc>
      </w:tr>
      <w:tr>
        <w:trPr>
          <w:trHeight w:val="180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111219</w:t>
            </w:r>
          </w:p>
        </w:tc>
      </w:tr>
      <w:tr>
        <w:trPr>
          <w:trHeight w:val="180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524756</w:t>
            </w:r>
          </w:p>
        </w:tc>
      </w:tr>
      <w:tr>
        <w:trPr>
          <w:trHeight w:val="180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503324</w:t>
            </w:r>
          </w:p>
        </w:tc>
      </w:tr>
      <w:tr>
        <w:trPr>
          <w:trHeight w:val="180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2663</w:t>
            </w:r>
          </w:p>
        </w:tc>
      </w:tr>
      <w:tr>
        <w:trPr>
          <w:trHeight w:val="180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17219</w:t>
            </w:r>
          </w:p>
        </w:tc>
      </w:tr>
      <w:tr>
        <w:trPr>
          <w:trHeight w:val="180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1550</w:t>
            </w:r>
          </w:p>
        </w:tc>
      </w:tr>
      <w:tr>
        <w:trPr>
          <w:trHeight w:val="180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9369</w:t>
            </w:r>
          </w:p>
        </w:tc>
      </w:tr>
      <w:tr>
        <w:trPr>
          <w:trHeight w:val="180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1648</w:t>
            </w:r>
          </w:p>
        </w:tc>
      </w:tr>
      <w:tr>
        <w:trPr>
          <w:trHeight w:val="195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4500</w:t>
            </w:r>
          </w:p>
        </w:tc>
      </w:tr>
      <w:tr>
        <w:trPr>
          <w:trHeight w:val="180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3145</w:t>
            </w:r>
          </w:p>
        </w:tc>
      </w:tr>
      <w:tr>
        <w:trPr>
          <w:trHeight w:val="180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</w:t>
            </w:r>
          </w:p>
        </w:tc>
      </w:tr>
      <w:tr>
        <w:trPr>
          <w:trHeight w:val="690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1590</w:t>
            </w:r>
          </w:p>
        </w:tc>
      </w:tr>
      <w:tr>
        <w:trPr>
          <w:trHeight w:val="180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1590</w:t>
            </w:r>
          </w:p>
        </w:tc>
      </w:tr>
      <w:tr>
        <w:trPr>
          <w:trHeight w:val="180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3529</w:t>
            </w:r>
          </w:p>
        </w:tc>
      </w:tr>
      <w:tr>
        <w:trPr>
          <w:trHeight w:val="180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</w:tr>
      <w:tr>
        <w:trPr>
          <w:trHeight w:val="360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</w:tr>
      <w:tr>
        <w:trPr>
          <w:trHeight w:val="180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3459</w:t>
            </w:r>
          </w:p>
        </w:tc>
      </w:tr>
      <w:tr>
        <w:trPr>
          <w:trHeight w:val="180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3459</w:t>
            </w:r>
          </w:p>
        </w:tc>
      </w:tr>
      <w:tr>
        <w:trPr>
          <w:trHeight w:val="180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3719</w:t>
            </w:r>
          </w:p>
        </w:tc>
      </w:tr>
      <w:tr>
        <w:trPr>
          <w:trHeight w:val="180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3719</w:t>
            </w:r>
          </w:p>
        </w:tc>
      </w:tr>
      <w:tr>
        <w:trPr>
          <w:trHeight w:val="180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3719</w:t>
            </w:r>
          </w:p>
        </w:tc>
      </w:tr>
      <w:tr>
        <w:trPr>
          <w:trHeight w:val="180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3602832</w:t>
            </w:r>
          </w:p>
        </w:tc>
      </w:tr>
      <w:tr>
        <w:trPr>
          <w:trHeight w:val="225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3602832</w:t>
            </w:r>
          </w:p>
        </w:tc>
      </w:tr>
      <w:tr>
        <w:trPr>
          <w:trHeight w:val="180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3602832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94"/>
        <w:gridCol w:w="737"/>
        <w:gridCol w:w="801"/>
        <w:gridCol w:w="8635"/>
        <w:gridCol w:w="1973"/>
      </w:tblGrid>
      <w:tr>
        <w:trPr>
          <w:trHeight w:val="27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Сумма, тыс тенге
</w:t>
            </w:r>
          </w:p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Программа</w:t>
            </w:r>
          </w:p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
</w:t>
            </w:r>
          </w:p>
        </w:tc>
      </w:tr>
      <w:tr>
        <w:trPr>
          <w:trHeight w:val="18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Расходы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4394679</w:t>
            </w:r>
          </w:p>
        </w:tc>
      </w:tr>
      <w:tr>
        <w:trPr>
          <w:trHeight w:val="18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287477</w:t>
            </w:r>
          </w:p>
        </w:tc>
      </w:tr>
      <w:tr>
        <w:trPr>
          <w:trHeight w:val="24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6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17104</w:t>
            </w:r>
          </w:p>
        </w:tc>
      </w:tr>
      <w:tr>
        <w:trPr>
          <w:trHeight w:val="18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6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61634</w:t>
            </w:r>
          </w:p>
        </w:tc>
      </w:tr>
      <w:tr>
        <w:trPr>
          <w:trHeight w:val="54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4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173171</w:t>
            </w:r>
          </w:p>
        </w:tc>
      </w:tr>
      <w:tr>
        <w:trPr>
          <w:trHeight w:val="15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9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района (города областного значения) и управления коммунальной собственностью района (города областного значения)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17886</w:t>
            </w:r>
          </w:p>
        </w:tc>
      </w:tr>
      <w:tr>
        <w:trPr>
          <w:trHeight w:val="285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527</w:t>
            </w:r>
          </w:p>
        </w:tc>
      </w:tr>
      <w:tr>
        <w:trPr>
          <w:trHeight w:val="27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</w:p>
        </w:tc>
      </w:tr>
      <w:tr>
        <w:trPr>
          <w:trHeight w:val="36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 имущества, поступившего в коммунальную собственность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</w:t>
            </w:r>
          </w:p>
        </w:tc>
      </w:tr>
      <w:tr>
        <w:trPr>
          <w:trHeight w:val="36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2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района (города областного значения)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16260</w:t>
            </w:r>
          </w:p>
        </w:tc>
      </w:tr>
      <w:tr>
        <w:trPr>
          <w:trHeight w:val="18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02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1860</w:t>
            </w:r>
          </w:p>
        </w:tc>
      </w:tr>
      <w:tr>
        <w:trPr>
          <w:trHeight w:val="27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6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1633</w:t>
            </w:r>
          </w:p>
        </w:tc>
      </w:tr>
      <w:tr>
        <w:trPr>
          <w:trHeight w:val="255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9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</w:t>
            </w:r>
          </w:p>
        </w:tc>
      </w:tr>
      <w:tr>
        <w:trPr>
          <w:trHeight w:val="36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03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8759</w:t>
            </w:r>
          </w:p>
        </w:tc>
      </w:tr>
      <w:tr>
        <w:trPr>
          <w:trHeight w:val="54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8759</w:t>
            </w:r>
          </w:p>
        </w:tc>
      </w:tr>
      <w:tr>
        <w:trPr>
          <w:trHeight w:val="18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04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2592875</w:t>
            </w:r>
          </w:p>
        </w:tc>
      </w:tr>
      <w:tr>
        <w:trPr>
          <w:trHeight w:val="18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6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дошкольного воспитания и обучения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331556</w:t>
            </w:r>
          </w:p>
        </w:tc>
      </w:tr>
      <w:tr>
        <w:trPr>
          <w:trHeight w:val="36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 квалификационную категорию воспитателям дошкольных организаций образования за счет трансфертов из республиканского бюджета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2597</w:t>
            </w:r>
          </w:p>
        </w:tc>
      </w:tr>
      <w:tr>
        <w:trPr>
          <w:trHeight w:val="195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2130943</w:t>
            </w:r>
          </w:p>
        </w:tc>
      </w:tr>
      <w:tr>
        <w:trPr>
          <w:trHeight w:val="18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51038</w:t>
            </w:r>
          </w:p>
        </w:tc>
      </w:tr>
      <w:tr>
        <w:trPr>
          <w:trHeight w:val="18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064</w:t>
            </w:r>
          </w:p>
        </w:tc>
        <w:tc>
          <w:tcPr>
            <w:tcW w:w="8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 квалификационную категорию учителям школ за счет трансфертов из республиканского бюджета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27432</w:t>
            </w:r>
          </w:p>
        </w:tc>
      </w:tr>
      <w:tr>
        <w:trPr>
          <w:trHeight w:val="18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образования 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18979</w:t>
            </w:r>
          </w:p>
        </w:tc>
      </w:tr>
      <w:tr>
        <w:trPr>
          <w:trHeight w:val="18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9292</w:t>
            </w:r>
          </w:p>
        </w:tc>
      </w:tr>
      <w:tr>
        <w:trPr>
          <w:trHeight w:val="42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42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 за счет трансфертов из республиканского бюджета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10711</w:t>
            </w:r>
          </w:p>
        </w:tc>
      </w:tr>
      <w:tr>
        <w:trPr>
          <w:trHeight w:val="42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8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оборудованием, программным обеспечением детей-инвалидов, обучающихся на дому за счет трансфертов из республиканского бюджета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9927</w:t>
            </w:r>
          </w:p>
        </w:tc>
      </w:tr>
      <w:tr>
        <w:trPr>
          <w:trHeight w:val="18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05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Здравоохранение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145</w:t>
            </w:r>
          </w:p>
        </w:tc>
      </w:tr>
      <w:tr>
        <w:trPr>
          <w:trHeight w:val="54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4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</w:t>
            </w:r>
          </w:p>
        </w:tc>
      </w:tr>
      <w:tr>
        <w:trPr>
          <w:trHeight w:val="18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06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267964</w:t>
            </w:r>
          </w:p>
        </w:tc>
      </w:tr>
      <w:tr>
        <w:trPr>
          <w:trHeight w:val="36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64410</w:t>
            </w:r>
          </w:p>
        </w:tc>
      </w:tr>
      <w:tr>
        <w:trPr>
          <w:trHeight w:val="90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ритуальных услуг по захоронению умерших Героев Советского Союза, "Халық Қаһарманы", Героев Социалистического труда, награжденных Орденом Славы трех степеней и орденом "Отан" из числа участников и инвалидов войны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</w:t>
            </w:r>
          </w:p>
        </w:tc>
      </w:tr>
      <w:tr>
        <w:trPr>
          <w:trHeight w:val="885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проживающим и работающим в сельских населенных пунктах специалистам организаций социального обеспечения, культуры, спорта и работающим в сельской местности педагогическим работникам образования, медицинским и фармацевтическим работникам организаций государственного сектора здравоохранения в соответствии с законодательством Республики Казахстан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</w:p>
        </w:tc>
      </w:tr>
      <w:tr>
        <w:trPr>
          <w:trHeight w:val="18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11382</w:t>
            </w:r>
          </w:p>
        </w:tc>
      </w:tr>
      <w:tr>
        <w:trPr>
          <w:trHeight w:val="18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Жилищная помощь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12572</w:t>
            </w:r>
          </w:p>
        </w:tc>
      </w:tr>
      <w:tr>
        <w:trPr>
          <w:trHeight w:val="42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10767</w:t>
            </w:r>
          </w:p>
        </w:tc>
      </w:tr>
      <w:tr>
        <w:trPr>
          <w:trHeight w:val="72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поддержка граждан, награжденных от 26 июля 1999 года орденами "Отан", "Даңқ", удостоенных высокого звания "Халық қаһарманы", почетных званий республики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</w:t>
            </w:r>
          </w:p>
        </w:tc>
      </w:tr>
      <w:tr>
        <w:trPr>
          <w:trHeight w:val="36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1299</w:t>
            </w:r>
          </w:p>
        </w:tc>
      </w:tr>
      <w:tr>
        <w:trPr>
          <w:trHeight w:val="255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34017</w:t>
            </w:r>
          </w:p>
        </w:tc>
      </w:tr>
      <w:tr>
        <w:trPr>
          <w:trHeight w:val="18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63835</w:t>
            </w:r>
          </w:p>
        </w:tc>
      </w:tr>
      <w:tr>
        <w:trPr>
          <w:trHeight w:val="96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22360</w:t>
            </w:r>
          </w:p>
        </w:tc>
      </w:tr>
      <w:tr>
        <w:trPr>
          <w:trHeight w:val="165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11144</w:t>
            </w:r>
          </w:p>
        </w:tc>
      </w:tr>
      <w:tr>
        <w:trPr>
          <w:trHeight w:val="18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25244</w:t>
            </w:r>
          </w:p>
        </w:tc>
      </w:tr>
      <w:tr>
        <w:trPr>
          <w:trHeight w:val="18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646</w:t>
            </w:r>
          </w:p>
        </w:tc>
      </w:tr>
      <w:tr>
        <w:trPr>
          <w:trHeight w:val="18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07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400683</w:t>
            </w:r>
          </w:p>
        </w:tc>
      </w:tr>
      <w:tr>
        <w:trPr>
          <w:trHeight w:val="18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5192</w:t>
            </w:r>
          </w:p>
        </w:tc>
      </w:tr>
      <w:tr>
        <w:trPr>
          <w:trHeight w:val="18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282050</w:t>
            </w:r>
          </w:p>
        </w:tc>
      </w:tr>
      <w:tr>
        <w:trPr>
          <w:trHeight w:val="54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15630</w:t>
            </w:r>
          </w:p>
        </w:tc>
      </w:tr>
      <w:tr>
        <w:trPr>
          <w:trHeight w:val="18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9350</w:t>
            </w:r>
          </w:p>
        </w:tc>
      </w:tr>
      <w:tr>
        <w:trPr>
          <w:trHeight w:val="18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36126</w:t>
            </w:r>
          </w:p>
        </w:tc>
      </w:tr>
      <w:tr>
        <w:trPr>
          <w:trHeight w:val="18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52335</w:t>
            </w:r>
          </w:p>
        </w:tc>
      </w:tr>
      <w:tr>
        <w:trPr>
          <w:trHeight w:val="18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08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211448</w:t>
            </w:r>
          </w:p>
        </w:tc>
      </w:tr>
      <w:tr>
        <w:trPr>
          <w:trHeight w:val="225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119757</w:t>
            </w:r>
          </w:p>
        </w:tc>
      </w:tr>
      <w:tr>
        <w:trPr>
          <w:trHeight w:val="18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18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3445</w:t>
            </w:r>
          </w:p>
        </w:tc>
      </w:tr>
      <w:tr>
        <w:trPr>
          <w:trHeight w:val="18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46948</w:t>
            </w:r>
          </w:p>
        </w:tc>
      </w:tr>
      <w:tr>
        <w:trPr>
          <w:trHeight w:val="21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</w:t>
            </w:r>
          </w:p>
        </w:tc>
      </w:tr>
      <w:tr>
        <w:trPr>
          <w:trHeight w:val="21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6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проведению государственной информационной политики через газеты и журналы 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</w:t>
            </w:r>
          </w:p>
        </w:tc>
      </w:tr>
      <w:tr>
        <w:trPr>
          <w:trHeight w:val="375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1685</w:t>
            </w:r>
          </w:p>
        </w:tc>
      </w:tr>
      <w:tr>
        <w:trPr>
          <w:trHeight w:val="255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05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10261</w:t>
            </w:r>
          </w:p>
        </w:tc>
      </w:tr>
      <w:tr>
        <w:trPr>
          <w:trHeight w:val="225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10825</w:t>
            </w:r>
          </w:p>
        </w:tc>
      </w:tr>
      <w:tr>
        <w:trPr>
          <w:trHeight w:val="225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региональных программ в сфере молодежной политики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2140</w:t>
            </w:r>
          </w:p>
        </w:tc>
      </w:tr>
      <w:tr>
        <w:trPr>
          <w:trHeight w:val="15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11552</w:t>
            </w:r>
          </w:p>
        </w:tc>
      </w:tr>
      <w:tr>
        <w:trPr>
          <w:trHeight w:val="72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83506</w:t>
            </w:r>
          </w:p>
        </w:tc>
      </w:tr>
      <w:tr>
        <w:trPr>
          <w:trHeight w:val="225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6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17065</w:t>
            </w:r>
          </w:p>
        </w:tc>
      </w:tr>
      <w:tr>
        <w:trPr>
          <w:trHeight w:val="36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8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Реализации мер социальной поддержки специалистов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15750</w:t>
            </w:r>
          </w:p>
        </w:tc>
      </w:tr>
      <w:tr>
        <w:trPr>
          <w:trHeight w:val="225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6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7623</w:t>
            </w:r>
          </w:p>
        </w:tc>
      </w:tr>
      <w:tr>
        <w:trPr>
          <w:trHeight w:val="18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санитарного убоя больных животных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2140</w:t>
            </w:r>
          </w:p>
        </w:tc>
      </w:tr>
      <w:tr>
        <w:trPr>
          <w:trHeight w:val="21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893</w:t>
            </w:r>
          </w:p>
        </w:tc>
      </w:tr>
      <w:tr>
        <w:trPr>
          <w:trHeight w:val="195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4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8754</w:t>
            </w:r>
          </w:p>
        </w:tc>
      </w:tr>
      <w:tr>
        <w:trPr>
          <w:trHeight w:val="24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31281</w:t>
            </w:r>
          </w:p>
        </w:tc>
      </w:tr>
      <w:tr>
        <w:trPr>
          <w:trHeight w:val="36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33625</w:t>
            </w:r>
          </w:p>
        </w:tc>
      </w:tr>
      <w:tr>
        <w:trPr>
          <w:trHeight w:val="165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6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22310</w:t>
            </w:r>
          </w:p>
        </w:tc>
      </w:tr>
      <w:tr>
        <w:trPr>
          <w:trHeight w:val="36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 района (города областного значения)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95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в области архитектуры и градостроительства на местном уровне 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11315</w:t>
            </w:r>
          </w:p>
        </w:tc>
      </w:tr>
      <w:tr>
        <w:trPr>
          <w:trHeight w:val="18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473975</w:t>
            </w:r>
          </w:p>
        </w:tc>
      </w:tr>
      <w:tr>
        <w:trPr>
          <w:trHeight w:val="18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район-ного значения, поселках, аулах (селах), аульных (сельских) округах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28474</w:t>
            </w:r>
          </w:p>
        </w:tc>
      </w:tr>
      <w:tr>
        <w:trPr>
          <w:trHeight w:val="54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95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транспортной инфраструктуры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203510</w:t>
            </w:r>
          </w:p>
        </w:tc>
      </w:tr>
      <w:tr>
        <w:trPr>
          <w:trHeight w:val="195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241502</w:t>
            </w:r>
          </w:p>
        </w:tc>
      </w:tr>
      <w:tr>
        <w:trPr>
          <w:trHeight w:val="39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8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внутрипоселковых (внутригородских), пригородных и внутрирайонных общественных пассажирских перевозок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489</w:t>
            </w:r>
          </w:p>
        </w:tc>
      </w:tr>
      <w:tr>
        <w:trPr>
          <w:trHeight w:val="18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26230</w:t>
            </w:r>
          </w:p>
        </w:tc>
      </w:tr>
      <w:tr>
        <w:trPr>
          <w:trHeight w:val="18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развития предпринимательства и промышленности 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8943</w:t>
            </w:r>
          </w:p>
        </w:tc>
      </w:tr>
      <w:tr>
        <w:trPr>
          <w:trHeight w:val="18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</w:t>
            </w:r>
          </w:p>
        </w:tc>
      </w:tr>
      <w:tr>
        <w:trPr>
          <w:trHeight w:val="18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8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для решение вопросов обустройства аульных (сельских) округов в реализацию мер по содействию экономическому развитию регионов в рамках Программы "Развитие регионов" за счет целевых трансфертов из республиканского бюджета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4858</w:t>
            </w:r>
          </w:p>
        </w:tc>
      </w:tr>
      <w:tr>
        <w:trPr>
          <w:trHeight w:val="285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6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района (города областного значения) 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</w:tr>
      <w:tr>
        <w:trPr>
          <w:trHeight w:val="54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2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10636</w:t>
            </w:r>
          </w:p>
        </w:tc>
      </w:tr>
      <w:tr>
        <w:trPr>
          <w:trHeight w:val="18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14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2177</w:t>
            </w:r>
          </w:p>
        </w:tc>
      </w:tr>
      <w:tr>
        <w:trPr>
          <w:trHeight w:val="195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2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2177</w:t>
            </w:r>
          </w:p>
        </w:tc>
      </w:tr>
      <w:tr>
        <w:trPr>
          <w:trHeight w:val="24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3955</w:t>
            </w:r>
          </w:p>
        </w:tc>
      </w:tr>
      <w:tr>
        <w:trPr>
          <w:trHeight w:val="18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4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8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 вышестоящие бюджеты в связи с переда-чей функций государственных органов из нижестоящего уровня государственного управления в вышестоящий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3955</w:t>
            </w:r>
          </w:p>
        </w:tc>
      </w:tr>
      <w:tr>
        <w:trPr>
          <w:trHeight w:val="255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Чистое бюджетное кредитование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92784</w:t>
            </w:r>
          </w:p>
        </w:tc>
      </w:tr>
      <w:tr>
        <w:trPr>
          <w:trHeight w:val="255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Бюджетные кредиты 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99507</w:t>
            </w:r>
          </w:p>
        </w:tc>
      </w:tr>
      <w:tr>
        <w:trPr>
          <w:trHeight w:val="255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99507</w:t>
            </w:r>
          </w:p>
        </w:tc>
      </w:tr>
      <w:tr>
        <w:trPr>
          <w:trHeight w:val="255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99507</w:t>
            </w:r>
          </w:p>
        </w:tc>
      </w:tr>
      <w:tr>
        <w:trPr>
          <w:trHeight w:val="255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6723</w:t>
            </w:r>
          </w:p>
        </w:tc>
      </w:tr>
      <w:tr>
        <w:trPr>
          <w:trHeight w:val="255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8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Погашение бюджетных кредитов, выданных из местного бюджета физическим лицам 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6723</w:t>
            </w:r>
          </w:p>
        </w:tc>
      </w:tr>
      <w:tr>
        <w:trPr>
          <w:trHeight w:val="255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Дефицит (профицит) бюджета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-90392</w:t>
            </w:r>
          </w:p>
        </w:tc>
      </w:tr>
      <w:tr>
        <w:trPr>
          <w:trHeight w:val="255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Финансирование дефицита (использование профицита) бюджета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90392</w:t>
            </w:r>
          </w:p>
        </w:tc>
      </w:tr>
      <w:tr>
        <w:trPr>
          <w:trHeight w:val="255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Поступление займов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99507</w:t>
            </w:r>
          </w:p>
        </w:tc>
      </w:tr>
      <w:tr>
        <w:trPr>
          <w:trHeight w:val="255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Займы, получаемые местным исполнительным органам районов (городов областного значения)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99507</w:t>
            </w:r>
          </w:p>
        </w:tc>
      </w:tr>
      <w:tr>
        <w:trPr>
          <w:trHeight w:val="18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16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9115</w:t>
            </w:r>
          </w:p>
        </w:tc>
      </w:tr>
      <w:tr>
        <w:trPr>
          <w:trHeight w:val="21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6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9115</w:t>
            </w:r>
          </w:p>
        </w:tc>
      </w:tr>
      <w:tr>
        <w:trPr>
          <w:trHeight w:val="24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Движение остатков бюджетных средств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5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 решению Жалагашского районного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маслихата от "13" января 2012 года N 52-1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Приложение 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 решению Жалагашского районного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маслихата от 20 декабря 2011 года N 51-1</w:t>
      </w:r>
    </w:p>
    <w:bookmarkStart w:name="z10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   
Перечень программ развития бюджета района на 2012-2014 годы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16"/>
        <w:gridCol w:w="716"/>
        <w:gridCol w:w="716"/>
        <w:gridCol w:w="6448"/>
        <w:gridCol w:w="1561"/>
        <w:gridCol w:w="1400"/>
        <w:gridCol w:w="162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5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2012 г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(тыс. тенге)</w:t>
            </w:r>
          </w:p>
        </w:tc>
        <w:tc>
          <w:tcPr>
            <w:tcW w:w="14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2013 г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(тыс. тенге)</w:t>
            </w:r>
          </w:p>
        </w:tc>
        <w:tc>
          <w:tcPr>
            <w:tcW w:w="16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2014 г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(тыс. тенге)</w:t>
            </w:r>
          </w:p>
        </w:tc>
      </w:tr>
      <w:tr>
        <w:trPr>
          <w:trHeight w:val="30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585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Всего 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485560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07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282050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282050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203510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транспортной инфраструктуры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203510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 решению Жалагашского районного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маслихата от "13" января 2012 года N 52-1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Приложение 5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 решению Жалагашского районного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маслихата от 20 декабря 2011 года N 51-1</w:t>
      </w:r>
    </w:p>
    <w:bookmarkStart w:name="z11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   
Расходы бюджетных программ аппарата акимов поселок, аульных округов на 2012 год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45"/>
        <w:gridCol w:w="3320"/>
        <w:gridCol w:w="1158"/>
        <w:gridCol w:w="1111"/>
        <w:gridCol w:w="1102"/>
        <w:gridCol w:w="888"/>
        <w:gridCol w:w="1102"/>
        <w:gridCol w:w="1132"/>
        <w:gridCol w:w="1962"/>
      </w:tblGrid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п/н
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Администратор бюджетных программ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Услуги по обеспечению деяте-льности акима района в городе, города районного значения, пос-елка, аула (села),аульного (сель-ского)округа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Организация в экстренных случ-аях доставки тяжелобольных лю-дей до ближайшей организации здравоохранения, оказывающей врачебную помощь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Освещение улиц населенных пунктов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Обеспечение санитарии населенных пунктов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Благоустройство и озеленение населенных пунктов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
аулах (селах), аульных (сельских) округах
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Реализация мероприятий для
решение вопросов обустройства аульных (сельских) округов в реализацию мер по содействию экономическому развитию регионов в рамках Программы "Развитие регионов" за счет целевых транс-фертов из республиканского бюджета
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поселок Жалагаш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24380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10114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5150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33326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28474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аульного округа Аксу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11964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680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1582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аульного округа Аккыр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10923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372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аульного округа Аламесек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10992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372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аульного округа Аккум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11269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372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387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аульного округа Бухарбай батыр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10554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372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384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аульного округа Енбек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9758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372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аульного округа Шаменов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10004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372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аульного округа Каракеткен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10588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372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аульного округа Тан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10710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372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1401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аульного округа Мадениет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10299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372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аульного округа Макпалкол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11138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372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1875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аульного округа Жанадария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10050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372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аульного округа Мырзабай ахун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10485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372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аульного округа Жанаталап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10057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372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Всего 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173171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145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15630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9350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36126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28474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4858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