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a8ee3" w14:textId="05a8e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XXXXIV сессии Казалинского районного маслихата от 20 декабря 2011 года N 333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26 ноября 2012 года N 59. Зарегистрировано Департаментом юстиции Кызылординской области 28 ноября 2012 года за N 4350. Утратило силу в связи с истечением срока применения - (письмо Казалинского районного маслихата Кызылординской области от 31 января 2013 года N 42)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  Казалинского районного маслихата Кызылординской области от 31.01.2013 N 42).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ХХXХІV сессии Казалинского районного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333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2012-2014 годы" (зарегистрировано в Реестре государственной регистрации нормативных правовых актов за номером 10-4-165, опубликовано в газете "Қазалы" от 18 января 2012 года за N 7-8, от 21 января 2012 года за N 9-12) 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2012-2014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7 776 109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1 150 705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6 936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10 607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6 607 861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7 889 492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98 723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106 788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8 065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11 417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11 417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- 223 23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223 523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"резерв местного исполнительного органа района на 2012 год 9 711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8),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на содержание вновь вводимых школ – 1697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содержание вновь вводимых объектов культуры – 3587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реализацию мероприятий в рамках Программы занятости 2020 – 53 758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четырнадцать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повышение оплаты труда учителям, прошедшим повышение квалификации по учебным программам АОО "Назарбаев Интеллектуальные школы" – 5 956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3-3</w:t>
      </w:r>
      <w:r>
        <w:rPr>
          <w:rFonts w:ascii="Times New Roman"/>
          <w:b w:val="false"/>
          <w:i w:val="false"/>
          <w:color w:val="000000"/>
          <w:sz w:val="28"/>
        </w:rPr>
        <w:t>. Установить сумму неиспользованных (недоиспользованных) целевых трансфертов выделенных из республиканского и областного бюджетов в 2011 году и подлежащих возврату в областной бюджет 2 519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3-4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"3-4. Установить погашение долга местного исполнительного органа 925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третий, пятый, шестой, девятый, десятый, одиннадцатый, четырнадцатый, девятнадцатый, двадцать первый, двадцать второй, двадцать девятый, тридцатый абзацы </w:t>
      </w:r>
      <w:r>
        <w:rPr>
          <w:rFonts w:ascii="Times New Roman"/>
          <w:b w:val="false"/>
          <w:i w:val="false"/>
          <w:color w:val="000000"/>
          <w:sz w:val="28"/>
        </w:rPr>
        <w:t>2) подпункта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"451-005 "Государственная адресная социальная помощь" 17 477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123-011 "Благоустройство и озеленение населенных пунктов" 2 066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452-012 "Резерв местного исполнительного органа района (города областного значения)" 14 533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451-010 "Материальное обеспечение детей-инвалидов, воспитывающихся и обучающихся на дому" на 787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451-004 "Оказание единовременной социальной помощи на приобретение топлива проживающим и работающим в сельских населенных пунктах специалистам организаций социального обеспечения, культуры, спорта и ветеринарии, работающим в сельской местности педагогическим работникам образования, медицинским и фармацевтическим работникам организаций государственного сектора здравоохранения в соответствии с законодательством Республики Казахстан" на 1 920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451-011 "Оплата услуг по зачислению, выплате и доставке пособий и других социальных выплат" на 1 297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122-001 "Услуги по обеспечению деятельности акима района (города областного значения)" на 3 520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464-001 "Услуги по реализации государственной политики на местном уровне в области образования" на 629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451-016 "Государственные пособия на детей до 18 лет" на 47 000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451-002 "Программа занятости" на 172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473-006 "Организация санитарного убоя больных животных" на 1 755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463-001 "Услуги по реализации государственной политики в области регулирования земельных отношений на территории района (города областного значения)" на 400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дополнить абзацами тридцать четыре, тридцать пять, тридцать шесть, тридцать семь, тридцать восемь, тридцать девять, сорок, сорок один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"464-012 "Капитальные расходы государственного органа" на 154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464-067 "Капитальные расходы подведомственных государственных учреждений и организаций" на 733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451-003 "Оказание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войны" на 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451-021 "Капитальные расходы государственного органа" на 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467-005 "Развитие коммунального хозяйства" на 1937 тысяч тенге;        467-006 "Развитие системы водоснабжения и водоотведения" на 1995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467-008 "Развитие объектов спорта и туризма" на 1025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467-010 "Развитие объектов сельского хозяйства" на 81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второй, двадцать шестой абзацы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"464-003 "Общеобразовательное обучение" 31 125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458-065 "Формирование или увеличение уставного капитала юридических лиц" 9 417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четвертый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"122-006 "Предупреждение и ликвидация чрезвычайных ситуаций масштаба района (города областного значения)" 12 559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шестой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464-009 "Обеспечение дошкольного воспитания и обучения" 22 857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11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бюджетную программу 455-001 "Услуги по реализации государственной политики на местном уровне в области развития языков и культуры" уменьшить на 145 тысяч тенге, программу 455 - 003 "Поддержка культурно-досуговой работы" увеличить на 145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ІX сессии Казалинского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 Б. Даулетияров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Казалинского районного маслихата            Т. Боркулаков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ІХ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ноября 2012 года N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ХХХХІV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N 333</w:t>
      </w:r>
    </w:p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2012 год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669"/>
        <w:gridCol w:w="648"/>
        <w:gridCol w:w="9365"/>
        <w:gridCol w:w="18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7776109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1150705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496243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496243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345786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345786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285368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236223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5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4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</w:p>
        </w:tc>
      </w:tr>
      <w:tr>
        <w:trPr>
          <w:trHeight w:val="1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6607861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6607861</w:t>
            </w:r>
          </w:p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6607861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58"/>
        <w:gridCol w:w="737"/>
        <w:gridCol w:w="8602"/>
        <w:gridCol w:w="190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7889492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498260</w:t>
            </w:r>
          </w:p>
        </w:tc>
      </w:tr>
      <w:tr>
        <w:trPr>
          <w:trHeight w:val="13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20173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20173</w:t>
            </w:r>
          </w:p>
        </w:tc>
      </w:tr>
      <w:tr>
        <w:trPr>
          <w:trHeight w:val="1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120734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94422</w:t>
            </w:r>
          </w:p>
        </w:tc>
      </w:tr>
      <w:tr>
        <w:trPr>
          <w:trHeight w:val="1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26312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315124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314974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22799</w:t>
            </w:r>
          </w:p>
        </w:tc>
      </w:tr>
      <w:tr>
        <w:trPr>
          <w:trHeight w:val="28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22679</w:t>
            </w:r>
          </w:p>
        </w:tc>
      </w:tr>
      <w:tr>
        <w:trPr>
          <w:trHeight w:val="7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</w:p>
        </w:tc>
      </w:tr>
      <w:tr>
        <w:trPr>
          <w:trHeight w:val="5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27593</w:t>
            </w:r>
          </w:p>
        </w:tc>
      </w:tr>
      <w:tr>
        <w:trPr>
          <w:trHeight w:val="10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</w:t>
            </w:r>
          </w:p>
        </w:tc>
      </w:tr>
      <w:tr>
        <w:trPr>
          <w:trHeight w:val="13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</w:t>
            </w:r>
          </w:p>
        </w:tc>
      </w:tr>
      <w:tr>
        <w:trPr>
          <w:trHeight w:val="52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4784412</w:t>
            </w:r>
          </w:p>
        </w:tc>
      </w:tr>
      <w:tr>
        <w:trPr>
          <w:trHeight w:val="30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503823</w:t>
            </w:r>
          </w:p>
        </w:tc>
      </w:tr>
      <w:tr>
        <w:trPr>
          <w:trHeight w:val="3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497408</w:t>
            </w:r>
          </w:p>
        </w:tc>
      </w:tr>
      <w:tr>
        <w:trPr>
          <w:trHeight w:val="3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4154754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3981651</w:t>
            </w:r>
          </w:p>
        </w:tc>
      </w:tr>
      <w:tr>
        <w:trPr>
          <w:trHeight w:val="15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132061</w:t>
            </w:r>
          </w:p>
        </w:tc>
      </w:tr>
      <w:tr>
        <w:trPr>
          <w:trHeight w:val="15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41042</w:t>
            </w:r>
          </w:p>
        </w:tc>
      </w:tr>
      <w:tr>
        <w:trPr>
          <w:trHeight w:val="1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125835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25499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53752</w:t>
            </w:r>
          </w:p>
        </w:tc>
      </w:tr>
      <w:tr>
        <w:trPr>
          <w:trHeight w:val="16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391716</w:t>
            </w:r>
          </w:p>
        </w:tc>
      </w:tr>
      <w:tr>
        <w:trPr>
          <w:trHeight w:val="3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338922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87285</w:t>
            </w:r>
          </w:p>
        </w:tc>
      </w:tr>
      <w:tr>
        <w:trPr>
          <w:trHeight w:val="3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15820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10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17352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53831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</w:p>
        </w:tc>
      </w:tr>
      <w:tr>
        <w:trPr>
          <w:trHeight w:val="28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53493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75799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16598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52794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51423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16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1042418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65171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65171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79191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48416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22175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31139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20713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10426 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441018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436555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200785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46084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22493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132208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225114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25114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1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396362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152011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150870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</w:p>
        </w:tc>
      </w:tr>
      <w:tr>
        <w:trPr>
          <w:trHeight w:val="45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45784</w:t>
            </w:r>
          </w:p>
        </w:tc>
      </w:tr>
      <w:tr>
        <w:trPr>
          <w:trHeight w:val="15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45784</w:t>
            </w:r>
          </w:p>
        </w:tc>
      </w:tr>
      <w:tr>
        <w:trPr>
          <w:trHeight w:val="43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67642</w:t>
            </w:r>
          </w:p>
        </w:tc>
      </w:tr>
      <w:tr>
        <w:trPr>
          <w:trHeight w:val="16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67642</w:t>
            </w:r>
          </w:p>
        </w:tc>
      </w:tr>
      <w:tr>
        <w:trPr>
          <w:trHeight w:val="3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23355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18289</w:t>
            </w:r>
          </w:p>
        </w:tc>
      </w:tr>
      <w:tr>
        <w:trPr>
          <w:trHeight w:val="43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</w:p>
        </w:tc>
      </w:tr>
      <w:tr>
        <w:trPr>
          <w:trHeight w:val="40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42445</w:t>
            </w:r>
          </w:p>
        </w:tc>
      </w:tr>
      <w:tr>
        <w:trPr>
          <w:trHeight w:val="3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</w:t>
            </w:r>
          </w:p>
        </w:tc>
      </w:tr>
      <w:tr>
        <w:trPr>
          <w:trHeight w:val="3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30317</w:t>
            </w:r>
          </w:p>
        </w:tc>
      </w:tr>
      <w:tr>
        <w:trPr>
          <w:trHeight w:val="3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</w:t>
            </w:r>
          </w:p>
        </w:tc>
      </w:tr>
      <w:tr>
        <w:trPr>
          <w:trHeight w:val="3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17781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13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4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29851</w:t>
            </w:r>
          </w:p>
        </w:tc>
      </w:tr>
      <w:tr>
        <w:trPr>
          <w:trHeight w:val="3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29851</w:t>
            </w:r>
          </w:p>
        </w:tc>
      </w:tr>
      <w:tr>
        <w:trPr>
          <w:trHeight w:val="45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115231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26861</w:t>
            </w:r>
          </w:p>
        </w:tc>
      </w:tr>
      <w:tr>
        <w:trPr>
          <w:trHeight w:val="36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</w:t>
            </w:r>
          </w:p>
        </w:tc>
      </w:tr>
      <w:tr>
        <w:trPr>
          <w:trHeight w:val="36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</w:t>
            </w:r>
          </w:p>
        </w:tc>
      </w:tr>
      <w:tr>
        <w:trPr>
          <w:trHeight w:val="16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</w:t>
            </w:r>
          </w:p>
        </w:tc>
      </w:tr>
      <w:tr>
        <w:trPr>
          <w:trHeight w:val="16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17851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16153</w:t>
            </w:r>
          </w:p>
        </w:tc>
      </w:tr>
      <w:tr>
        <w:trPr>
          <w:trHeight w:val="52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43647</w:t>
            </w:r>
          </w:p>
        </w:tc>
      </w:tr>
      <w:tr>
        <w:trPr>
          <w:trHeight w:val="1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43647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39635</w:t>
            </w:r>
          </w:p>
        </w:tc>
      </w:tr>
      <w:tr>
        <w:trPr>
          <w:trHeight w:val="22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9414</w:t>
            </w:r>
          </w:p>
        </w:tc>
      </w:tr>
      <w:tr>
        <w:trPr>
          <w:trHeight w:val="52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9414</w:t>
            </w:r>
          </w:p>
        </w:tc>
      </w:tr>
      <w:tr>
        <w:trPr>
          <w:trHeight w:val="45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30221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19841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501099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28526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28526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472573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</w:p>
        </w:tc>
      </w:tr>
      <w:tr>
        <w:trPr>
          <w:trHeight w:val="16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468836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53025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32679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34792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34792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30328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98723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16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28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11417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11417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11417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-223523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223523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2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16191</w:t>
            </w:r>
          </w:p>
        </w:tc>
      </w:tr>
      <w:tr>
        <w:trPr>
          <w:trHeight w:val="1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16191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16191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132926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132926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132926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ІХ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ноября 2012 года N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ХХХХІV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N 333</w:t>
      </w:r>
    </w:p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Объем индивидуальных планов финансирования по администраторам бюджетных программ акимов аппаратов города, поселка, аульных округов предусмотренный на 2012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/тыс. тенге/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4758"/>
        <w:gridCol w:w="1253"/>
        <w:gridCol w:w="1856"/>
        <w:gridCol w:w="1275"/>
        <w:gridCol w:w="2065"/>
        <w:gridCol w:w="1168"/>
        <w:gridCol w:w="1253"/>
        <w:gridCol w:w="1168"/>
        <w:gridCol w:w="1168"/>
        <w:gridCol w:w="1211"/>
        <w:gridCol w:w="1854"/>
      </w:tblGrid>
      <w:tr>
        <w:trPr>
          <w:trHeight w:val="30" w:hRule="atLeast"/>
        </w:trPr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п/п</w:t>
            </w:r>
          </w:p>
        </w:tc>
        <w:tc>
          <w:tcPr>
            <w:tcW w:w="4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программам
</w:t>
            </w:r>
          </w:p>
        </w:tc>
      </w:tr>
      <w:tr>
        <w:trPr>
          <w:trHeight w:val="48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Айтеке би"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232316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28526</w:t>
            </w:r>
          </w:p>
        </w:tc>
      </w:tr>
      <w:tr>
        <w:trPr>
          <w:trHeight w:val="2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города Казалинск"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45327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Майлыбас"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Кызылкум"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Бозколь"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Аранды"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Алга"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Майдакол"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Арыкбалык"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Коларык"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Сарыкол"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12489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Муратбаев"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Кумжиек"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Карашенгел"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23958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Басыкара"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Оркендеу"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12019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Тасарык"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Бирлик"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Акжона"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Шакен"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Сарбулак"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544435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314974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46084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22493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132208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