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06dc" w14:textId="fe90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"Назначение государственной адресной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5 декабря 2012 года N 30/02. Зарегистрировано Департаментом юстиции Карагандинской области 11 января 2013 года N 2102. Утратило силу постановлением акимата Улытауского района Карагандинской области от 20 июня 2013 года N 16/05</w:t>
      </w:r>
    </w:p>
    <w:p>
      <w:pPr>
        <w:spacing w:after="0"/>
        <w:ind w:left="0"/>
        <w:jc w:val="both"/>
      </w:pPr>
      <w:r>
        <w:rPr>
          <w:rFonts w:ascii="Times New Roman"/>
          <w:b w:val="false"/>
          <w:i w:val="false"/>
          <w:color w:val="ff0000"/>
          <w:sz w:val="28"/>
        </w:rPr>
        <w:t>      Сноска. Утратило силу постановлением акимата Улытауского района Карагандинской области от 20.06.2013 N 16/05.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лицами", в целях качественного предоставления государственных услуг, акимат Улытауского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Акышбекова Берика Базыловича.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 акима</w:t>
      </w:r>
      <w:r>
        <w:br/>
      </w:r>
      <w:r>
        <w:rPr>
          <w:rFonts w:ascii="Times New Roman"/>
          <w:b w:val="false"/>
          <w:i w:val="false"/>
          <w:color w:val="000000"/>
          <w:sz w:val="28"/>
        </w:rPr>
        <w:t>
</w:t>
      </w:r>
      <w:r>
        <w:rPr>
          <w:rFonts w:ascii="Times New Roman"/>
          <w:b w:val="false"/>
          <w:i/>
          <w:color w:val="000000"/>
          <w:sz w:val="28"/>
        </w:rPr>
        <w:t>      Улытауского района                         М. Оспанов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Улытауского района</w:t>
      </w:r>
      <w:r>
        <w:br/>
      </w:r>
      <w:r>
        <w:rPr>
          <w:rFonts w:ascii="Times New Roman"/>
          <w:b w:val="false"/>
          <w:i w:val="false"/>
          <w:color w:val="000000"/>
          <w:sz w:val="28"/>
        </w:rPr>
        <w:t>
от 5 декабря 2012 года N 30/02</w:t>
      </w:r>
    </w:p>
    <w:bookmarkEnd w:id="1"/>
    <w:bookmarkStart w:name="z6" w:id="2"/>
    <w:p>
      <w:pPr>
        <w:spacing w:after="0"/>
        <w:ind w:left="0"/>
        <w:jc w:val="left"/>
      </w:pPr>
      <w:r>
        <w:rPr>
          <w:rFonts w:ascii="Times New Roman"/>
          <w:b/>
          <w:i w:val="false"/>
          <w:color w:val="000000"/>
        </w:rPr>
        <w:t xml:space="preserve"> 
Регламент оказания государственной услуги "Назначение государственной адресной социальной помощи"</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"Назначение государственной адресной социальной помощи" (далее - Регламент) используется следующие основные понятия: </w:t>
      </w:r>
      <w:r>
        <w:br/>
      </w:r>
      <w:r>
        <w:rPr>
          <w:rFonts w:ascii="Times New Roman"/>
          <w:b w:val="false"/>
          <w:i w:val="false"/>
          <w:color w:val="000000"/>
          <w:sz w:val="28"/>
        </w:rPr>
        <w:t xml:space="preserve">
      1) уполномоченный орган по назначению и выплате государственной адресной социальной помощи - государственное учреждение "Отдел занятости и социальных программ Улытауского района" (далее - уполномоченный орган); </w:t>
      </w:r>
      <w:r>
        <w:br/>
      </w:r>
      <w:r>
        <w:rPr>
          <w:rFonts w:ascii="Times New Roman"/>
          <w:b w:val="false"/>
          <w:i w:val="false"/>
          <w:color w:val="000000"/>
          <w:sz w:val="28"/>
        </w:rPr>
        <w:t>
      2) среднедушевой доход - доля совокупного дохода семьи, приходящегося на каждого члена семьи в месяц;</w:t>
      </w:r>
      <w:r>
        <w:br/>
      </w:r>
      <w:r>
        <w:rPr>
          <w:rFonts w:ascii="Times New Roman"/>
          <w:b w:val="false"/>
          <w:i w:val="false"/>
          <w:color w:val="000000"/>
          <w:sz w:val="28"/>
        </w:rPr>
        <w:t>
      3) структурно - 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4) государственная адресная социальная помощь (далее - АСП) - выплата в денежной форме, предоставляемая государством лицам (семьям) с месячным среднедушевым доходом ниже черты бедности, установленной в области;</w:t>
      </w:r>
      <w:r>
        <w:br/>
      </w:r>
      <w:r>
        <w:rPr>
          <w:rFonts w:ascii="Times New Roman"/>
          <w:b w:val="false"/>
          <w:i w:val="false"/>
          <w:color w:val="000000"/>
          <w:sz w:val="28"/>
        </w:rPr>
        <w:t xml:space="preserve">
      5) потребитель - физические лица: граждане Республики Казахстан, оралманы, лица, имеющие статус беженца, иностранцы и лица без гражданства, постоянно проживающие на территории Улытауского района, со среднедушевым доходом, не превышающим черты бедности; </w:t>
      </w:r>
      <w:r>
        <w:br/>
      </w:r>
      <w:r>
        <w:rPr>
          <w:rFonts w:ascii="Times New Roman"/>
          <w:b w:val="false"/>
          <w:i w:val="false"/>
          <w:color w:val="000000"/>
          <w:sz w:val="28"/>
        </w:rPr>
        <w:t>
      6)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xml:space="preserve">
      2. Государственная услуга "Назначение государственной адресной социальной помощи" - административная процедура, осуществляемая уполномоченным органом в целях оказания помощи в денежной форме лицам (семьям) со среднедушевым доходом ниже черты бедности, установленной в области. </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При отсутствии уполномоченного органа по месту жительства, потребитель обращается за получением государственной услуги к акиму поселка.</w:t>
      </w:r>
      <w:r>
        <w:br/>
      </w:r>
      <w:r>
        <w:rPr>
          <w:rFonts w:ascii="Times New Roman"/>
          <w:b w:val="false"/>
          <w:i w:val="false"/>
          <w:color w:val="000000"/>
          <w:sz w:val="28"/>
        </w:rPr>
        <w:t>
</w:t>
      </w:r>
      <w:r>
        <w:rPr>
          <w:rFonts w:ascii="Times New Roman"/>
          <w:b w:val="false"/>
          <w:i w:val="false"/>
          <w:color w:val="000000"/>
          <w:sz w:val="28"/>
        </w:rPr>
        <w:t xml:space="preserve">
      4.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5. Настоящая государственная услуга оказывается в соответствии с пунктом 1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 государственной адресной социальной помощи" от 17 июля 2001 года и </w:t>
      </w:r>
      <w:r>
        <w:rPr>
          <w:rFonts w:ascii="Times New Roman"/>
          <w:b w:val="false"/>
          <w:i w:val="false"/>
          <w:color w:val="000000"/>
          <w:sz w:val="28"/>
        </w:rPr>
        <w:t>главой 2</w:t>
      </w:r>
      <w:r>
        <w:rPr>
          <w:rFonts w:ascii="Times New Roman"/>
          <w:b w:val="false"/>
          <w:i w:val="false"/>
          <w:color w:val="000000"/>
          <w:sz w:val="28"/>
        </w:rPr>
        <w:t xml:space="preserve"> "Правил назначения и выплаты государственной адресной социальной помощи", утвержденных постановлением Правительства Республики Казахстан от 24 декабря 2001 года N 1685 "О мерах по реализации Закона Республики Казахстан "О государственной адресной социальной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N 237-п "Об утверждении Правил исчисления совокупного дохода лица (семьи), претендующего на получение государственной адресной социальной помощи", "Положением об участковых комиссиях для проведения обследования материального положения лиц, обратившихся за социальной помощью", утвержденного постановлением акимата Карагандинской области N 09/02 от 5 апреля 2010 года. </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 назначении государственной адресной социальной помощи (далее - уведомление) либо мотивированный ответ об отказе в предоставлении услуги на бумажном носителе.</w:t>
      </w:r>
    </w:p>
    <w:bookmarkEnd w:id="6"/>
    <w:bookmarkStart w:name="z15"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6" w:id="8"/>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"Отдел занятости и социальных программ Улытауского района" по адресу:101500, Карагандинская область, Улытауский район, село Улытау, улица Абая 23, телефон 8(71035) 21212, факс: 8(71035) 21207;</w:t>
      </w:r>
      <w:r>
        <w:br/>
      </w:r>
      <w:r>
        <w:rPr>
          <w:rFonts w:ascii="Times New Roman"/>
          <w:b w:val="false"/>
          <w:i w:val="false"/>
          <w:color w:val="000000"/>
          <w:sz w:val="28"/>
        </w:rPr>
        <w:t>
      аким поселковых и сельских округов по местожительству, согласно </w:t>
      </w:r>
      <w:r>
        <w:rPr>
          <w:rFonts w:ascii="Times New Roman"/>
          <w:b w:val="false"/>
          <w:i w:val="false"/>
          <w:color w:val="000000"/>
          <w:sz w:val="28"/>
        </w:rPr>
        <w:t xml:space="preserve">приложения 3 </w:t>
      </w:r>
      <w:r>
        <w:rPr>
          <w:rFonts w:ascii="Times New Roman"/>
          <w:b w:val="false"/>
          <w:i w:val="false"/>
          <w:color w:val="000000"/>
          <w:sz w:val="28"/>
        </w:rPr>
        <w:t>к настоящему регламенту.</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Улытауского района" http://www.ulytau-akimat.kz, на стендах акима поселковых и сельских округов,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с необходимыми документами в уполномоченный орган или акиму поселка;</w:t>
      </w:r>
      <w:r>
        <w:br/>
      </w:r>
      <w:r>
        <w:rPr>
          <w:rFonts w:ascii="Times New Roman"/>
          <w:b w:val="false"/>
          <w:i w:val="false"/>
          <w:color w:val="000000"/>
          <w:sz w:val="28"/>
        </w:rPr>
        <w:t xml:space="preserve">
      2) уполномоченный орган или аким поселковых и сельских округов проводит регистрацию заявления и передает документы в участковую комиссию; </w:t>
      </w:r>
      <w:r>
        <w:br/>
      </w:r>
      <w:r>
        <w:rPr>
          <w:rFonts w:ascii="Times New Roman"/>
          <w:b w:val="false"/>
          <w:i w:val="false"/>
          <w:color w:val="000000"/>
          <w:sz w:val="28"/>
        </w:rPr>
        <w:t>
      3) участковая комиссия проводит обследование материального положения потребителя (его семьи), готовит акт обследования материального положения заявителя (семьи) (далее - акт обследования) и заключение о необходимости предоставления АСП потребителю или ее отсутствии (далее - заключение), передает заключение в уполномоченный орган или акиму поселка;</w:t>
      </w:r>
      <w:r>
        <w:br/>
      </w:r>
      <w:r>
        <w:rPr>
          <w:rFonts w:ascii="Times New Roman"/>
          <w:b w:val="false"/>
          <w:i w:val="false"/>
          <w:color w:val="000000"/>
          <w:sz w:val="28"/>
        </w:rPr>
        <w:t xml:space="preserve">
      4) аким поселковых и сельских округов передает документы потребителя и заключение в уполномоченный орган; </w:t>
      </w:r>
      <w:r>
        <w:br/>
      </w:r>
      <w:r>
        <w:rPr>
          <w:rFonts w:ascii="Times New Roman"/>
          <w:b w:val="false"/>
          <w:i w:val="false"/>
          <w:color w:val="000000"/>
          <w:sz w:val="28"/>
        </w:rPr>
        <w:t>
      5) уполномоченный орган регистрирует документы, рассматривает и принимает решение о назначении АСП или об отказе в назначении, оформляет уведомление о назначении либо мотивированный ответ об отказе.</w:t>
      </w:r>
    </w:p>
    <w:bookmarkEnd w:id="8"/>
    <w:bookmarkStart w:name="z21"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12. Прием документов у акима поселковых и сельских округов и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в уполномоченном органе или у акима поселковых и сельских округов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и/или аульных акимов;</w:t>
      </w:r>
      <w:r>
        <w:br/>
      </w:r>
      <w:r>
        <w:rPr>
          <w:rFonts w:ascii="Times New Roman"/>
          <w:b w:val="false"/>
          <w:i w:val="false"/>
          <w:color w:val="000000"/>
          <w:sz w:val="28"/>
        </w:rPr>
        <w:t xml:space="preserve">
      6) копия социального контракта в случае участия в активных мерах содействия занятости. </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w:t>
      </w:r>
      <w:r>
        <w:rPr>
          <w:rFonts w:ascii="Times New Roman"/>
          <w:b w:val="false"/>
          <w:i w:val="false"/>
          <w:color w:val="000000"/>
          <w:sz w:val="28"/>
        </w:rPr>
        <w:t>
      14. Предоставляемые потребителем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w:t>
      </w:r>
      <w:r>
        <w:br/>
      </w:r>
      <w:r>
        <w:rPr>
          <w:rFonts w:ascii="Times New Roman"/>
          <w:b w:val="false"/>
          <w:i w:val="false"/>
          <w:color w:val="000000"/>
          <w:sz w:val="28"/>
        </w:rPr>
        <w:t>
</w:t>
      </w:r>
      <w:r>
        <w:rPr>
          <w:rFonts w:ascii="Times New Roman"/>
          <w:b w:val="false"/>
          <w:i w:val="false"/>
          <w:color w:val="000000"/>
          <w:sz w:val="28"/>
        </w:rPr>
        <w:t xml:space="preserve">
      15. В процессе оказания государственной услуги участвуют следующие структурно-функциональные единицы (далее - СФЕ): </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2)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xml:space="preserve">
      3) специалист сектора назначения и выплаты социальных пособий уполномоченного органа (далее - специалист сектора уполномоченного органа) (СФЕ 3); </w:t>
      </w:r>
      <w:r>
        <w:br/>
      </w:r>
      <w:r>
        <w:rPr>
          <w:rFonts w:ascii="Times New Roman"/>
          <w:b w:val="false"/>
          <w:i w:val="false"/>
          <w:color w:val="000000"/>
          <w:sz w:val="28"/>
        </w:rPr>
        <w:t>
      4) участковая комиссия, созданная решением акима города Балхаш (далее - участковая комиссия) (СФЕ 4);</w:t>
      </w:r>
      <w:r>
        <w:br/>
      </w:r>
      <w:r>
        <w:rPr>
          <w:rFonts w:ascii="Times New Roman"/>
          <w:b w:val="false"/>
          <w:i w:val="false"/>
          <w:color w:val="000000"/>
          <w:sz w:val="28"/>
        </w:rPr>
        <w:t>
      5) аким поселковых и сельских округов по местожительству заявителя (СФЕ 5);</w:t>
      </w:r>
      <w:r>
        <w:br/>
      </w:r>
      <w:r>
        <w:rPr>
          <w:rFonts w:ascii="Times New Roman"/>
          <w:b w:val="false"/>
          <w:i w:val="false"/>
          <w:color w:val="000000"/>
          <w:sz w:val="28"/>
        </w:rPr>
        <w:t xml:space="preserve">
      6) участковая комиссия, созданная решением акима поселковых и сельских округов по местожительству заявителя (далее - участковая комиссия акима поселковых и сельских округов) (СФЕ 6). </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0"/>
    <w:bookmarkStart w:name="z28"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29" w:id="12"/>
    <w:p>
      <w:pPr>
        <w:spacing w:after="0"/>
        <w:ind w:left="0"/>
        <w:jc w:val="both"/>
      </w:pPr>
      <w:r>
        <w:rPr>
          <w:rFonts w:ascii="Times New Roman"/>
          <w:b w:val="false"/>
          <w:i w:val="false"/>
          <w:color w:val="000000"/>
          <w:sz w:val="28"/>
        </w:rPr>
        <w:t xml:space="preserve">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 </w:t>
      </w:r>
    </w:p>
    <w:bookmarkEnd w:id="12"/>
    <w:bookmarkStart w:name="z30"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13"/>
    <w:bookmarkStart w:name="z31" w:id="14"/>
    <w:p>
      <w:pPr>
        <w:spacing w:after="0"/>
        <w:ind w:left="0"/>
        <w:jc w:val="both"/>
      </w:pPr>
      <w:r>
        <w:rPr>
          <w:rFonts w:ascii="Times New Roman"/>
          <w:b w:val="false"/>
          <w:i w:val="false"/>
          <w:color w:val="000000"/>
          <w:sz w:val="28"/>
        </w:rPr>
        <w:t>
      Таблица 1. Описание действий структурно-функциональных единиц</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571"/>
        <w:gridCol w:w="2416"/>
        <w:gridCol w:w="2375"/>
        <w:gridCol w:w="3320"/>
        <w:gridCol w:w="2574"/>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Руководитель уполномоченного органа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Заведующий сектором уполномоченного органа</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 xml:space="preserve">Специалист сектора уполномоченного органа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потребителя по поводу назначения АСП</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назначение АСП, выдает потребителю заполненный отрывной талон с указанием даты приема документов, готовит проект поручения участковой комиссии для обследования материального положения семьи потребителя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талона с указанием даты регистрации получения потребителем государственной услуги, фамилии и инициалов лица, принявшего документы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поручения на проведение обследования материального положения семьи потребителя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Письменное поручение на проведение обследования материального положения семьи потребителя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обследования материального положения семьи потребителя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письменным поручением проводит обследование материального положения семьи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назначении АСП</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документов специалисту сектора уполномоченного органа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документы с актом обследования и заключением участковой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актом обследования и заключением участковой комиссии, регистрация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из участковой комиссии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документы с актом обследования и заключением участковой комиссии</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актом обследования и заключением участковой комиссии, регистрация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АСП</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 АСП</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АСП</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и принимает решение о назначении или отказе в назначении АСП</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АСП с утвержденным решением, подлежащим исполнению</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уведомления либо мотивированного ответа об отказе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услуги о назначении (либо мотивированный ответ об отказе) АСП</w:t>
            </w:r>
          </w:p>
        </w:tc>
      </w:tr>
      <w:tr>
        <w:trPr>
          <w:trHeight w:val="99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99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909"/>
        <w:gridCol w:w="1951"/>
        <w:gridCol w:w="2106"/>
        <w:gridCol w:w="2305"/>
        <w:gridCol w:w="2660"/>
        <w:gridCol w:w="242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rPr>
                <w:rFonts w:ascii="Times New Roman"/>
                <w:b w:val="false"/>
                <w:i w:val="false"/>
                <w:color w:val="000000"/>
                <w:sz w:val="20"/>
              </w:rPr>
              <w:t>Руководитель уполномоченного органа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Заведующий сектором уполномоченного органа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Специалист сектора уполномоченного органа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Аким поселковых и сельских округов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поселковых и сельских округов</w:t>
            </w:r>
          </w:p>
        </w:tc>
      </w:tr>
      <w:tr>
        <w:trPr>
          <w:trHeight w:val="159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АСП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заявление со всеми необходимыми документами, регистрирует в журнале учета заявлений на назначение АСП, выдает потребителю заполненный отрывной талон с указанием даты приема документов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талона с указанием даты регистрации государственной услуги, фамилии и инициалов лица, принявшего документы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обследования материального положения семьи потребителя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Письменное поручение на проведение обследования материального положения семьи потребителя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поручением проводит обследование материального положения семьи потребителя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обследования и заключение о нуждаемости в назначении АСП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оформленного макета дела потребителя специалисту сектора уполномоченного органа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заявление со всеми необходимыми документами и заключением участковой комиссии в уполномоченный орган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АСП</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 с момента регистрации заявления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акима поселка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и заключением участковой комиссии и регистрирует в журнале учета заявлений на предоставление АСП</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АСП</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АСП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 АСП</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рабочих дня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АСП</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АСП</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АСП с утвержденным решением, подлежащим исполнению</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назначении АСП (либо мотивированный ответ об отказе)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Таблица 2. Варианты использования. Основной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4016"/>
        <w:gridCol w:w="4162"/>
        <w:gridCol w:w="3433"/>
      </w:tblGrid>
      <w:tr>
        <w:trPr>
          <w:trHeight w:val="1425"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4 </w:t>
            </w:r>
          </w:p>
          <w:p>
            <w:pPr>
              <w:spacing w:after="20"/>
              <w:ind w:left="20"/>
              <w:jc w:val="both"/>
            </w:pPr>
            <w:r>
              <w:rPr>
                <w:rFonts w:ascii="Times New Roman"/>
                <w:b w:val="false"/>
                <w:i w:val="false"/>
                <w:color w:val="000000"/>
                <w:sz w:val="20"/>
              </w:rPr>
              <w:t>Участковая комиссия</w:t>
            </w:r>
          </w:p>
        </w:tc>
      </w:tr>
      <w:tr>
        <w:trPr>
          <w:trHeight w:val="1425"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Выдача поручения на проведение обследования</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r>
      <w:tr>
        <w:trPr>
          <w:trHeight w:val="1605"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Прием документов с актом обследования и заключением участковой комиссии</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Передача документов из участковой комиссии специалисту уполномоченного органа</w:t>
            </w:r>
          </w:p>
        </w:tc>
      </w:tr>
      <w:tr>
        <w:trPr>
          <w:trHeight w:val="1605"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Расчет назначения АСП и подготовка проекта решения о назначении или отказе в назначении АСП</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Уведомление потребителя услуги о назначении АСП (либо мотивированный ответ об отказе)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6"/>
    <w:p>
      <w:pPr>
        <w:spacing w:after="0"/>
        <w:ind w:left="0"/>
        <w:jc w:val="both"/>
      </w:pPr>
      <w:r>
        <w:rPr>
          <w:rFonts w:ascii="Times New Roman"/>
          <w:b w:val="false"/>
          <w:i w:val="false"/>
          <w:color w:val="000000"/>
          <w:sz w:val="28"/>
        </w:rPr>
        <w:t>
      Таблица 3. Варианты использования. Альтернативный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800"/>
        <w:gridCol w:w="2926"/>
        <w:gridCol w:w="3096"/>
        <w:gridCol w:w="2780"/>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 xml:space="preserve">Аким поселковых и сельских округов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поселковых и сельских округов</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 xml:space="preserve">Прием документов от акима поселковых и сельских округов регистрация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r>
      <w:tr>
        <w:trPr>
          <w:trHeight w:val="1305"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Расчет назначения АСП и подготовка проекта решения о назначении или отказе в назначении АСП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Выдача поручения участковой комиссии для обследования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Уведомление о назначении АСП (либо мотивированный ответ об отказе)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Передача заявления с документами в уполномоченный орган</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17"/>
    <w:bookmarkStart w:name="z35" w:id="18"/>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Основной процесс оказания государственной услуги</w:t>
      </w:r>
    </w:p>
    <w:bookmarkEnd w:id="18"/>
    <w:p>
      <w:pPr>
        <w:spacing w:after="0"/>
        <w:ind w:left="0"/>
        <w:jc w:val="both"/>
      </w:pPr>
      <w:r>
        <w:drawing>
          <wp:inline distT="0" distB="0" distL="0" distR="0">
            <wp:extent cx="83058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05800" cy="7277100"/>
                    </a:xfrm>
                    <a:prstGeom prst="rect">
                      <a:avLst/>
                    </a:prstGeom>
                  </pic:spPr>
                </pic:pic>
              </a:graphicData>
            </a:graphic>
          </wp:inline>
        </w:drawing>
      </w:r>
    </w:p>
    <w:bookmarkStart w:name="z36" w:id="19"/>
    <w:p>
      <w:pPr>
        <w:spacing w:after="0"/>
        <w:ind w:left="0"/>
        <w:jc w:val="left"/>
      </w:pPr>
      <w:r>
        <w:rPr>
          <w:rFonts w:ascii="Times New Roman"/>
          <w:b/>
          <w:i w:val="false"/>
          <w:color w:val="000000"/>
        </w:rPr>
        <w:t xml:space="preserve"> 
Альтернативный процесс оказания государственной услуги</w:t>
      </w:r>
    </w:p>
    <w:bookmarkEnd w:id="19"/>
    <w:p>
      <w:pPr>
        <w:spacing w:after="0"/>
        <w:ind w:left="0"/>
        <w:jc w:val="both"/>
      </w:pPr>
      <w:r>
        <w:drawing>
          <wp:inline distT="0" distB="0" distL="0" distR="0">
            <wp:extent cx="8318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18500" cy="8547100"/>
                    </a:xfrm>
                    <a:prstGeom prst="rect">
                      <a:avLst/>
                    </a:prstGeom>
                  </pic:spPr>
                </pic:pic>
              </a:graphicData>
            </a:graphic>
          </wp:inline>
        </w:drawing>
      </w:r>
    </w:p>
    <w:bookmarkStart w:name="z37" w:id="2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государственной адресной</w:t>
      </w:r>
      <w:r>
        <w:br/>
      </w:r>
      <w:r>
        <w:rPr>
          <w:rFonts w:ascii="Times New Roman"/>
          <w:b w:val="false"/>
          <w:i w:val="false"/>
          <w:color w:val="000000"/>
          <w:sz w:val="28"/>
        </w:rPr>
        <w:t>
социальной помощи"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4605"/>
        <w:gridCol w:w="4949"/>
        <w:gridCol w:w="3020"/>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сельского округа</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телефона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Улытау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87103521224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Актасский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поселок Актас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87104120020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Карсакпайский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Улытауский район поселок Карсакпай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87103423142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Жездинский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поселок Жезды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87103421550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Жанкелдинский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Байконур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87104123211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Егиндинский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Егинды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87105951010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Аманкелдинский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Амангелды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87103523133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Каракенгирский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Каракенгир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87103524312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Косколский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Коскол</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87104131010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Шенберский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Шенбер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87104132010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Терисакканский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Терисаккан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87104133010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Алгабас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87104134010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Борсенгирский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Борсенгир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87103423578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Сарысуйский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Сарысу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87103423332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Мибулакский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Улытауский район село Мибулак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87104123602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