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887b" w14:textId="5cb8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декабря 2012 года N 11/90. Зарегистрировано Департаментом юстиции Карагандинской области 29 декабря 2012 года N 2086. Утратило силу в связи с истечением срока применения (письмо Балхашского городского маслихата Карагандинской области от 23 января 2014 года № 23/1-23)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4 695 080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2 889 041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1 687 985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5 206 765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25 555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537 240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537 240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84 240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Балхашского городского маслихата Карагандинской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N 12/105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27.03.2013 </w:t>
      </w:r>
      <w:r>
        <w:rPr>
          <w:rFonts w:ascii="Times New Roman"/>
          <w:b w:val="false"/>
          <w:i w:val="false"/>
          <w:color w:val="000000"/>
          <w:sz w:val="28"/>
        </w:rPr>
        <w:t>N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15.05.2013 </w:t>
      </w:r>
      <w:r>
        <w:rPr>
          <w:rFonts w:ascii="Times New Roman"/>
          <w:b w:val="false"/>
          <w:i w:val="false"/>
          <w:color w:val="000000"/>
          <w:sz w:val="28"/>
        </w:rPr>
        <w:t>N 15/131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05.07.2013 </w:t>
      </w:r>
      <w:r>
        <w:rPr>
          <w:rFonts w:ascii="Times New Roman"/>
          <w:b w:val="false"/>
          <w:i w:val="false"/>
          <w:color w:val="000000"/>
          <w:sz w:val="28"/>
        </w:rPr>
        <w:t>N 18/149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14.08.2013 </w:t>
      </w:r>
      <w:r>
        <w:rPr>
          <w:rFonts w:ascii="Times New Roman"/>
          <w:b w:val="false"/>
          <w:i w:val="false"/>
          <w:color w:val="000000"/>
          <w:sz w:val="28"/>
        </w:rPr>
        <w:t>N 19/155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30.09.2013 </w:t>
      </w:r>
      <w:r>
        <w:rPr>
          <w:rFonts w:ascii="Times New Roman"/>
          <w:b w:val="false"/>
          <w:i w:val="false"/>
          <w:color w:val="000000"/>
          <w:sz w:val="28"/>
        </w:rPr>
        <w:t>N 20/161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15.11.2013 </w:t>
      </w:r>
      <w:r>
        <w:rPr>
          <w:rFonts w:ascii="Times New Roman"/>
          <w:b w:val="false"/>
          <w:i w:val="false"/>
          <w:color w:val="000000"/>
          <w:sz w:val="28"/>
        </w:rPr>
        <w:t>N 21/165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N 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N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областной бюджет,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2013 год предусмотрены субвенции из областного бюджета в сумме 1 084 627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городского бюджета на 2013 год предусмотрены целевые текущие трансферты в сумме 107 424 тысяч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поступлений городского бюджета на 2013 год предусмотрены целевые текущие трансферты в сумме 41 964 тысяч тенге на увеличение размера доплаты за квалификационную категорию учителям школ и воспитателям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городского бюджета на 2013 год предусмотрены целевые текущие трансферты в сумме 2 801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Балхашского городского маслихата Карагандинской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N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поступлений городского бюджета на 2013 год предусмотрены целевые текущие трансферты в сумме 42 438 тысяч тенге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Балхашского городского маслихата Карагандинской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N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поступлений городского бюджета на 2013 год предусмотрены целевые текущие трансферты в сумме 9 400 тысяч тенге на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Балхашского городского маслихата Карагандинской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N 23/171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поступлений городского бюджета на 2013 год предусмотрены целевые текущие трансферты в сумме 5 271 тысяч тенге на введение стандартов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Балхашского городского маслихата Карагандинской области от 30.09.2013 </w:t>
      </w:r>
      <w:r>
        <w:rPr>
          <w:rFonts w:ascii="Times New Roman"/>
          <w:b w:val="false"/>
          <w:i w:val="false"/>
          <w:color w:val="000000"/>
          <w:sz w:val="28"/>
        </w:rPr>
        <w:t>N 20/161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Балхашского городского маслихата Карагандинской области от 27.03.2013 </w:t>
      </w:r>
      <w:r>
        <w:rPr>
          <w:rFonts w:ascii="Times New Roman"/>
          <w:b w:val="false"/>
          <w:i w:val="false"/>
          <w:color w:val="000000"/>
          <w:sz w:val="28"/>
        </w:rPr>
        <w:t>N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поступлений городского бюджета на 2013 год предусмотрены целевые текущие трансферты в сумме 5 101 тысяч тенге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поступлений городского бюджета на 2013 год предусмотрены целевые текущие трансферты в сумме 3 862 тысяч тенге на субсидирование пассажирских перевозок по социально значимым городским (сельским), пригородным и внутрирайонным сообщениям.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Балхашского городского маслихата Карагандинской области от 27.03.2013 </w:t>
      </w:r>
      <w:r>
        <w:rPr>
          <w:rFonts w:ascii="Times New Roman"/>
          <w:b w:val="false"/>
          <w:i w:val="false"/>
          <w:color w:val="000000"/>
          <w:sz w:val="28"/>
        </w:rPr>
        <w:t>N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Учесть, что в составе поступлений городского бюджета на 2013 год предусмотрены целевые текущие трансферты в сумме 2 679 тысяч тенге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Балхашского городского маслихата Карагандинской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N 18/149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13-2. Учесть, что в составе поступлений городского бюджета на 2013 год предусмотрены целевые текущие трансферты в сумме 103 тысячи тенге на проведение ветеринарных мероприятий по энзоотическим болезням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Балхашского городского маслихата Карагандинской области от 05.12.2013 </w:t>
      </w:r>
      <w:r>
        <w:rPr>
          <w:rFonts w:ascii="Times New Roman"/>
          <w:b w:val="false"/>
          <w:i w:val="false"/>
          <w:color w:val="000000"/>
          <w:sz w:val="28"/>
        </w:rPr>
        <w:t>N 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городского бюджета на 2013 год предусмотрены целевые трансферты на развитие в сумме 52 558 тысяч тенге на проектирование, строительство и (или)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Балхашского городского маслихата Карагандинской области от 27.03.2013 </w:t>
      </w:r>
      <w:r>
        <w:rPr>
          <w:rFonts w:ascii="Times New Roman"/>
          <w:b w:val="false"/>
          <w:i w:val="false"/>
          <w:color w:val="000000"/>
          <w:sz w:val="28"/>
        </w:rPr>
        <w:t>N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Балхашского городского маслихата Карагандинской области от 27.03.2013 </w:t>
      </w:r>
      <w:r>
        <w:rPr>
          <w:rFonts w:ascii="Times New Roman"/>
          <w:b w:val="false"/>
          <w:i w:val="false"/>
          <w:color w:val="000000"/>
          <w:sz w:val="28"/>
        </w:rPr>
        <w:t>N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16-1. Учесть, что в составе поступлений городского бюджета на 2013 год предусмотрены целевые трансферты на развитие в сумме 329 757 тысяч тенге на реализацию бюджетных инвестиционных проектов в рамках Программы развития моногородов на 2012-2020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Балхашского городского маслихата Карагандинской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N 18/149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решением Балхашского городского маслихата Карагандинской области от 15.11.2013 </w:t>
      </w:r>
      <w:r>
        <w:rPr>
          <w:rFonts w:ascii="Times New Roman"/>
          <w:b w:val="false"/>
          <w:i w:val="false"/>
          <w:color w:val="000000"/>
          <w:sz w:val="28"/>
        </w:rPr>
        <w:t>N 21/165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составе поступлений городского бюджета на 2013 год предусмотрены бюджетные кредиты в сумме 453 000 тысяч тенге на проектирование, строительство и (или)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Балхашского городского маслихата Карагандинской области от 05.07.2013 </w:t>
      </w:r>
      <w:r>
        <w:rPr>
          <w:rFonts w:ascii="Times New Roman"/>
          <w:b w:val="false"/>
          <w:i w:val="false"/>
          <w:color w:val="000000"/>
          <w:sz w:val="28"/>
        </w:rPr>
        <w:t>N 18/149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акимата города Балхаш на 2013 год в сумме 40 283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Установить, что в составе затрат городского бюджета на 2013 год учтены расходы по бюджетным программам, реализуемым в поселках Конырат, Саяк, Гулшат,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Установить, что в составе затрат городского бюджета на 2013 год предусмотрен возврат неиспользованных (недоиспользованных) целевых трансфертов, выделенных в 2012 году, в сумме 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Балхашского городского маслихата Карагандинской области от 27.03.2013 </w:t>
      </w:r>
      <w:r>
        <w:rPr>
          <w:rFonts w:ascii="Times New Roman"/>
          <w:b w:val="false"/>
          <w:i w:val="false"/>
          <w:color w:val="000000"/>
          <w:sz w:val="28"/>
        </w:rPr>
        <w:t>N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Установить, что в процессе исполнения городского бюджета на 2013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бюджетных программ развития городского бюджета на 2013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Сейсембеков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13.12.2013 N 23/171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8"/>
        <w:gridCol w:w="10837"/>
        <w:gridCol w:w="18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4695080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2881817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930789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930789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1109721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565735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108079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12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9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1687985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1687985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23"/>
        <w:gridCol w:w="702"/>
        <w:gridCol w:w="9844"/>
        <w:gridCol w:w="19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5206765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207844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2402488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2092373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2092373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110585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353557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27"/>
        <w:gridCol w:w="441"/>
        <w:gridCol w:w="10858"/>
        <w:gridCol w:w="18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50"/>
        <w:gridCol w:w="581"/>
        <w:gridCol w:w="10243"/>
        <w:gridCol w:w="178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4088445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2580871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954928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954928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637152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637152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741314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582006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127884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183624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12"/>
        <w:gridCol w:w="755"/>
        <w:gridCol w:w="691"/>
        <w:gridCol w:w="9338"/>
        <w:gridCol w:w="17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4088445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175420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148277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84918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84918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</w:p>
        </w:tc>
      </w:tr>
      <w:tr>
        <w:trPr>
          <w:trHeight w:val="12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12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2975198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155211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155211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2687825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87175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44987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44987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40407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214274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179347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165378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60026</w:t>
            </w:r>
          </w:p>
        </w:tc>
      </w:tr>
      <w:tr>
        <w:trPr>
          <w:trHeight w:val="15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53027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15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12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171096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104869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247964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62791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50386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12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2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</w:p>
        </w:tc>
      </w:tr>
      <w:tr>
        <w:trPr>
          <w:trHeight w:val="9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66062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9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49"/>
        <w:gridCol w:w="665"/>
        <w:gridCol w:w="10206"/>
        <w:gridCol w:w="18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45"/>
        <w:gridCol w:w="704"/>
        <w:gridCol w:w="10202"/>
        <w:gridCol w:w="179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4030634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2714294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989454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791141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183624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12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1284825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1284825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27"/>
        <w:gridCol w:w="727"/>
        <w:gridCol w:w="685"/>
        <w:gridCol w:w="9442"/>
        <w:gridCol w:w="17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4030634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206306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154400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88194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</w:t>
            </w:r>
          </w:p>
        </w:tc>
      </w:tr>
      <w:tr>
        <w:trPr>
          <w:trHeight w:val="12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12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2837210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166076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2622998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2622998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2529721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93277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48136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48136</w:t>
            </w:r>
          </w:p>
        </w:tc>
      </w:tr>
      <w:tr>
        <w:trPr>
          <w:trHeight w:val="9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226573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190071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175124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</w:t>
            </w:r>
          </w:p>
        </w:tc>
      </w:tr>
      <w:tr>
        <w:trPr>
          <w:trHeight w:val="15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15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12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183303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86175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12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</w:t>
            </w:r>
          </w:p>
        </w:tc>
      </w:tr>
      <w:tr>
        <w:trPr>
          <w:trHeight w:val="12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115965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115965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115965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115965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49834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07"/>
        <w:gridCol w:w="728"/>
        <w:gridCol w:w="10164"/>
        <w:gridCol w:w="18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
в поселке Конырат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14.08.2013 N 19/155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693"/>
        <w:gridCol w:w="693"/>
        <w:gridCol w:w="9494"/>
        <w:gridCol w:w="20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Саяк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15.11.2013 N 21/165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693"/>
        <w:gridCol w:w="715"/>
        <w:gridCol w:w="9577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Гулшат на 2013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15.11.2013 N 21/165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738"/>
        <w:gridCol w:w="717"/>
        <w:gridCol w:w="9585"/>
        <w:gridCol w:w="19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городского бюджета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46"/>
        <w:gridCol w:w="830"/>
        <w:gridCol w:w="749"/>
        <w:gridCol w:w="110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2013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15.11.2013 N 21/165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18"/>
        <w:gridCol w:w="728"/>
        <w:gridCol w:w="707"/>
        <w:gridCol w:w="115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