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80f7" w14:textId="7918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28 декабря 2012 года N 66/13. Зарегистрировано Департаментом юстиции Карагандинской области 15 февраля 2013 года N 2168. Утратило силу постановлением акимата Карагандинской области от 28 мая 2014 года № 25/11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28.05.2014 № 25/11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процедурах", постановлениями Правительства Республики Казахстан от 30 декабря 2009 года N 2315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стандартов государственных услуг в области информации и архивного дела</w:t>
      </w:r>
      <w:r>
        <w:rPr>
          <w:rFonts w:ascii="Times New Roman"/>
          <w:b w:val="false"/>
          <w:i w:val="false"/>
          <w:color w:val="000000"/>
          <w:sz w:val="28"/>
        </w:rPr>
        <w:t>" и от 20 июля 2010 года N 745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реестра государственных услуг, оказываемых физическим и юридическим лицам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архивных справок".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архивов и документации Карагандинской области"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Жилбаева Ж.О.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января 2013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66/13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архивных справок"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"Выдача архивных справок" (далее – электронная государственная услуга) оказывается государственным учреждением "Управление архивов и документации Карагандинской области", государственными архивами, на альтернативной основе через центры обслуживания населения (далее – услугодатель), а также через веб-портал "электронного правительства" www.e.gov.kz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утвержденного постановлением Правительства Республики Казахстан от 09 октября 2012 года N 1278 "О внесении изменений в постановление Правительства Республики Казахстан от 30 декабря 2009 года N 2315 "О внесении изменения и дополнений в постановление Правительства Республики Казахстан от 30 июня 2007 года N 561 и об утверждении стандартов государственных услуг"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(далее –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бизнес-идентификационный номер (далее – БИН)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 (далее –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МИО – местные исполнительные органы "Управление архивов и документации Карагандинской области", государственные архивы области, непосредственно предоставляющие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 МИО - информационная система местных исполнительных органов/информационная система "Региональный шлюз, как подсистема шлюза "электронного правительства" Республики Казахстан, в части автоматизированного рабочего места сотрудника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структурно-функциональные единицы (далее – СФЕ) – перечень структурных подразделений государственных органов, государственных учреждений или иных организаций, которые участвуют в процессе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электронная государственная услуга -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ЕНИС – единая нотариальная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ИС ЦОН – информационная система центров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веб-портал "электронного правительства" (далее –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(далее –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шлюз "электронного правительства" (далее – ШЭП) – информационная система, предназначенная для интеграции информационных систем "электронного правительства"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Региональный шлюз "электронного правительства" (далее – РШЭП) – информационная система, обеспечивающая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N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ИИН/БИН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потребителем ИИН/БИН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потребителя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потребителем результата услуги (уведомление о готовности архивной справки в форме электронного документа),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N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РШЭП ИИН/БИН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ШЭП/РШЭП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потребителем результата услуги (архивной справки) сформированной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ЦОН (</w:t>
      </w:r>
      <w:r>
        <w:rPr>
          <w:rFonts w:ascii="Times New Roman"/>
          <w:b w:val="false"/>
          <w:i w:val="false"/>
          <w:color w:val="000000"/>
          <w:sz w:val="28"/>
        </w:rPr>
        <w:t>диаграмма N 3</w:t>
      </w:r>
      <w:r>
        <w:rPr>
          <w:rFonts w:ascii="Times New Roman"/>
          <w:b w:val="false"/>
          <w:i w:val="false"/>
          <w:color w:val="000000"/>
          <w:sz w:val="28"/>
        </w:rPr>
        <w:t>) функционального взаимодействия при оказании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потребителя, а также данных по доверенности представителя потребителя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потребителя, а также в ЕНИС – о данных доверенности представителя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потребителя)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результата услуги (архивной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Формы заполнения запроса и ответа на услугу приведены на веб-портале "электронного правительства"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ПЭП в разделе "История получения услуг", а также при обращении в МИО или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Номер контактного телефона для получения информации об электронной государственной услуге, также в случае необходимости оценки (в том числе обжалования) их качества: 8 (7212) 56-91-08, по телефону саll-центра Портала: (1414).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СФЕ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Диаграммы, отражающие взаимосвязь между логической последовательностью действий (в процессе оказания электронной государственной услуги) СФЕ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диаграммы 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приведены формы, шаблоны бланков в соответствии с которыми должен быть представлен результат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сохранность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 наличие компьютера, выход в Интернет, наличие ИИН у лица, которому выдается справка, авторизация ПЭП, наличие ЭЦП пользователя.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1</w:t>
      </w:r>
      <w:r>
        <w:br/>
      </w:r>
      <w:r>
        <w:rPr>
          <w:rFonts w:ascii="Times New Roman"/>
          <w:b/>
          <w:i w:val="false"/>
          <w:color w:val="000000"/>
        </w:rPr>
        <w:t>
функционального взаимодействия при оказании частично</w:t>
      </w:r>
      <w:r>
        <w:br/>
      </w:r>
      <w:r>
        <w:rPr>
          <w:rFonts w:ascii="Times New Roman"/>
          <w:b/>
          <w:i w:val="false"/>
          <w:color w:val="000000"/>
        </w:rPr>
        <w:t>
автоматизированной электронной государственной услуги через МИО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87884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884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2</w:t>
      </w:r>
      <w:r>
        <w:br/>
      </w:r>
      <w:r>
        <w:rPr>
          <w:rFonts w:ascii="Times New Roman"/>
          <w:b/>
          <w:i w:val="false"/>
          <w:color w:val="000000"/>
        </w:rPr>
        <w:t>
функционального взаимодействия при оказании частично</w:t>
      </w:r>
      <w:r>
        <w:br/>
      </w:r>
      <w:r>
        <w:rPr>
          <w:rFonts w:ascii="Times New Roman"/>
          <w:b/>
          <w:i w:val="false"/>
          <w:color w:val="000000"/>
        </w:rPr>
        <w:t>
автоматизированной электронной государственной услуги через ЦОН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88011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3</w:t>
      </w:r>
      <w:r>
        <w:br/>
      </w:r>
      <w:r>
        <w:rPr>
          <w:rFonts w:ascii="Times New Roman"/>
          <w:b/>
          <w:i w:val="false"/>
          <w:color w:val="000000"/>
        </w:rPr>
        <w:t>
функционального взаимодействия при оказании частично</w:t>
      </w:r>
      <w:r>
        <w:br/>
      </w:r>
      <w:r>
        <w:rPr>
          <w:rFonts w:ascii="Times New Roman"/>
          <w:b/>
          <w:i w:val="false"/>
          <w:color w:val="000000"/>
        </w:rPr>
        <w:t>
автоматизированной электронной государственной услуги через ПЭП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7884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884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3660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 через ПЭП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2981"/>
        <w:gridCol w:w="2554"/>
        <w:gridCol w:w="2618"/>
        <w:gridCol w:w="2555"/>
        <w:gridCol w:w="2790"/>
      </w:tblGrid>
      <w:tr>
        <w:trPr>
          <w:trHeight w:val="8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пароля.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потребителя ЭЦП.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 ЭЦП</w:t>
            </w:r>
          </w:p>
        </w:tc>
      </w:tr>
      <w:tr>
        <w:trPr>
          <w:trHeight w:val="18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18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если авторизация прошла успешно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нарушений нет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2981"/>
        <w:gridCol w:w="2597"/>
        <w:gridCol w:w="2575"/>
        <w:gridCol w:w="2576"/>
        <w:gridCol w:w="2769"/>
      </w:tblGrid>
      <w:tr>
        <w:trPr>
          <w:trHeight w:val="8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потребителя и направление запроса в АРМ РШЭП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потребителя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 (уведомление о готовности архивной справки в форме электронного документа)</w:t>
            </w:r>
          </w:p>
        </w:tc>
      </w:tr>
      <w:tr>
        <w:trPr>
          <w:trHeight w:val="18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</w:tr>
      <w:tr>
        <w:trPr>
          <w:trHeight w:val="16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нарушений нет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Описание действий СФЕ через услугодателя.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3011"/>
        <w:gridCol w:w="2543"/>
        <w:gridCol w:w="2650"/>
        <w:gridCol w:w="2544"/>
        <w:gridCol w:w="2672"/>
      </w:tblGrid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</w:t>
            </w:r>
          </w:p>
        </w:tc>
      </w:tr>
      <w:tr>
        <w:trPr>
          <w:trHeight w:val="16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АРМ РШЭП через ИИН и пароля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потребителя в ГБД ФЛ/ГБД ЮЛ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отсутствие данных ГБД ФЛ/ГБД ЮЛ</w:t>
            </w:r>
          </w:p>
        </w:tc>
      </w:tr>
      <w:tr>
        <w:trPr>
          <w:trHeight w:val="18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</w:tr>
      <w:tr>
        <w:trPr>
          <w:trHeight w:val="10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нарушений нет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2990"/>
        <w:gridCol w:w="2543"/>
        <w:gridCol w:w="2671"/>
        <w:gridCol w:w="2650"/>
        <w:gridCol w:w="2566"/>
      </w:tblGrid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18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сканированных документов и удостоверением ЭЦП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сообщение об отказе в связи с имеющимися нарушениями в документах потребителя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8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 (архивной справки)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</w:tr>
      <w:tr>
        <w:trPr>
          <w:trHeight w:val="10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есть нарушения;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нарушений нет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Описание действий СФЕ через ЦОН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2943"/>
        <w:gridCol w:w="2561"/>
        <w:gridCol w:w="2476"/>
        <w:gridCol w:w="2710"/>
        <w:gridCol w:w="2711"/>
      </w:tblGrid>
      <w:tr>
        <w:trPr>
          <w:trHeight w:val="8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ЮЛ, ЕНИС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Центра по логину и паролю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ФЛ/ГБД ЮЛ, ЕНИС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</w:p>
        </w:tc>
      </w:tr>
      <w:tr>
        <w:trPr>
          <w:trHeight w:val="18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16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нарушений нет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2681"/>
        <w:gridCol w:w="2681"/>
        <w:gridCol w:w="2681"/>
        <w:gridCol w:w="2681"/>
        <w:gridCol w:w="2682"/>
      </w:tblGrid>
      <w:tr>
        <w:trPr>
          <w:trHeight w:val="2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 к форме запроса необходимых документов и удостоверение ЭЦП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3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услуги-(архивной справки)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</w:tr>
      <w:tr>
        <w:trPr>
          <w:trHeight w:val="10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если нарушений нет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Экранная форма анкеты-заявления на электронную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государственную услугу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8775700" cy="121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757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Директор государственного архива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(ФИО директора)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Заявитель: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(ФИО потребителя)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Адрес:__________________________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(Адрес потребителя)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Телефон:________________________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(Контактный телефон потребителя)</w:t>
      </w:r>
    </w:p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Анкета-заявление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5"/>
        <w:gridCol w:w="3256"/>
        <w:gridCol w:w="3274"/>
        <w:gridCol w:w="325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Для лица о котором запрашиваются сведения: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Фамилия, имя, отчество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Изменения ФИО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Почтовый адрес с указанием индекса, контактный 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 чем запрашиваются сведения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Куда и для какой цели запрашивается сведения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Период, за который запрашивается справка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Точное название места работы, службы, учебы:</w:t>
            </w:r>
          </w:p>
        </w:tc>
      </w:tr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c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құжат "Электрондық құжат және электрондық цифрлық қолтаңба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2003 жылғы 7 қаңтардағы N 370-II ҚРЗ 7-бабының 1-тармағына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қағаз тасылмадағы құжатқа тең.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Данный документ согласно пункту 1 </w:t>
      </w:r>
      <w:r>
        <w:rPr>
          <w:rFonts w:ascii="Times New Roman"/>
          <w:b w:val="false"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 xml:space="preserve"> N 370 ЗРК от 7 января 2003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"Об электронном документе и электронной цифровой подписи"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равнозначен документу на бумажном носителе.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471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471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Штрих-код "Электрондық әкімдік" ақпараттық жүйесі ұсынған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мұрағатының электрондық цифрлық қолтаңбасымен қол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қойылған деректерін қамтиды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Штрих-код содержит данные, предоставленные информационной системой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"Электронный акимат" и подписанные электронно-цифровой подписью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архива</w:t>
      </w:r>
    </w:p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Выходная форма положительного ответа (архивной справки)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на электронную государственную услугу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8775700" cy="121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757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(ФИО заявителя или Наименование компании)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архивной справки: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за который запрашивается справка: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(указывается содержание архивной справки)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архива: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Архивист: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справке прилагаются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құжат "Электрондық құжат және электрондық цифрлық қолтаңба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2003 жылғы 7 қаңтардағы N 370-II ҚРЗ 7-бабының 1-тармағына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қағаз тасылмадағы құжатқа тең.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Данный документ согласно пункту 1 </w:t>
      </w:r>
      <w:r>
        <w:rPr>
          <w:rFonts w:ascii="Times New Roman"/>
          <w:b w:val="false"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 xml:space="preserve"> N 370 ЗРК от 7 января 2003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"Об электронном документе и электронной цифровой подписи"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равнозначен документу на бумажном носителе.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471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471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Штрих-код "Электрондық әкімдік" ақпараттық жүйесі ұсынған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мұрағатының электрондық цифрлық қолтаңбасымен қол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қойылған деректерін қамтиды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Штрих-код содержит данные, предоставленные информационной системой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"Электронный акимат" и подписанные электронно-цифровой подписью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архива</w:t>
      </w:r>
    </w:p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Выходная форма отрицательного ответа (архивной справки)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на электронную государственную услугу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8775700" cy="121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7757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Кому: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(Ф.И.О. потребителя)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Доводим до сведения, что по запрошенным Вами данным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имеется.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Причина отказа: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Специалист архива: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құжат "Электрондық құжат және электрондық цифрлық қолтаңба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2003 жылғы 7 қаңтардағы N 370-II ҚРЗ 7-бабының 1-тармағына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қағаз тасылмадағы құжатқа тең.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Данный документ согласно пункту 1 </w:t>
      </w:r>
      <w:r>
        <w:rPr>
          <w:rFonts w:ascii="Times New Roman"/>
          <w:b w:val="false"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 xml:space="preserve"> N 370 ЗРК от 7 января 2003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"Об электронном документе и электронной цифровой подписи"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равнозначен документу на бумажном носителе.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471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471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Штрих-код "Электрондық әкімдік" ақпараттық жүйесі ұсынған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мұрағатының электрондық цифрлық қолтаңбасымен қол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қойылған деректерін қамтиды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Штрих-код содержит данные, предоставленные информационной системой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"Электронный акимат" и подписанные электронно-цифровой подписью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архива</w:t>
      </w:r>
    </w:p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25"/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"качество" и "доступность"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