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39b2" w14:textId="2693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Саранском, Ащисуском, Шокайском, Кокпектинском, Краснополянском, Шерубай-Нуринском водохранилищах, на озерах Сасыкколь, Балыктыколь, Карасор, Балыкты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апреля 2012 года N 11/05. Зарегистрировано Департаментом юстиции Карагандинской области 11 мая 2012 года N 1912.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на Саранском водохранилище Карагандинской области";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на Ащисуском водохранилище Карагандинской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Шокайском водохранилище Карагандинской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"Установление водоохранных зон, полос и режима их хозяйственного использования на Кокпектинском водохранилище Карагандинской области";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"Установление водоохранных зон, полос и режима их хозяйственного использования на Краснополянском водохранилище Карагандинской области";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"Установление водоохранных зон, полос и режима их хозяйственного использования на Шерубай-Нуринском водохранилище Карагандинской области";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"Установление водоохранных зон, полос и режима их хозяйственного использования на озере Сасыкколь Карагандинской области";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"Установление водоохранных зон, полос и режима их хозяйственного использования на озере Балыктыколь Карагандинской области";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"Установление водоохранных зон, полос и режима их хозяйственного использования на озере Карасор Карагандинской области";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"Установление водоохранных зон, полос и режима их хозяйственного использования на озере Балыкты Карагандинской области".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полос, на водных объектах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Дочернему государственному предприятию "Караганда НПЦзем" (по согласованию) отразить на картографических материалах границы водоохранных зон и полос.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города Сарань, Абайского, Бухар-Жырауского, Каракаралинского, Нуринского, Осакаровского, Шетского районов: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 принять необходимые меры по переводу земель под водоохранными полосами в земли водного фонда согласно проектной документации;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хозяйственного использования водоохранных зон и полос в соответствии с приложением к настоящему постановлению;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города Сарань, Абайского, Бухар-Жырауского, Каракаралинского, Нуринского, Осакаровского, Шетского районов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работы по приведению в соответствие с режимом хозяйственного использования эксплуатацию объектов расположенных в пределах данных водоохранных зон и полос;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их содержание в надлежащем санитарном состоянии и соблюдение режима хозяйственного пользования, согласно приложению, а также сохранность водоохранных знаков.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хозяйственной деятельности на них и в особо охраняемых водных объектах.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Әбілда Т.А.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Хамитов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"___"___________ 2012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Нура-Сарысуской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Б.З. Данбаев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2012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11/05 от 5 апреля 2012 года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 пределах водоохранных зон и полос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