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7cf" w14:textId="e40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21 июня 2012 года № 5-5. Зарегистрировано управлением юстиции Сарысуского района 12 июля 2012 года за № 6-9-140. Утратило силу решением Сарысуского районного маслихата Жамбылской области от 25 декабря 2013 года № 25-23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25.12.2013 № 25-23.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заголовок и текст на государственном языке, заголовок на русском языке не изменяется в соответствии с решением Сарысуского районного маслихата от 22.11.2013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 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 малообеспеченным семьям (гражданам) по Сарысускому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Сарысуского районного маслихата «Об утверждении Правил оказания жилищной помощи малообеспеченным семьям (гражданам) по Сарысускому району»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46-15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6-9-112, опубликовано 22 января 2011 года в газете «Сарысу»,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Бегеев                                  Б. Дондаулы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 малообеспеченным семьям  (гражданам) по Сарысускому району 1.Общие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малообеспеченным семьям (гражданам) по Сарысускому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202020"/>
          <w:sz w:val="28"/>
        </w:rPr>
        <w:t xml:space="preserve"> статьи 97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 xml:space="preserve">от 16 апреля 1997 года «О жилищных отношениях».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электроснабжение, теплоснабжение и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– коммунальное государственное учреждение «Отдел занятости и социальных программ акимата Сарысуского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Сарысуском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Сарысуском районе.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дополнен подпунктом 3-1) и пунктом 3-1 решением Сарысуского районного маслихата от 26.09.2012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7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202020"/>
          <w:sz w:val="28"/>
        </w:rPr>
        <w:t>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двух человек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трех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