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91ceb" w14:textId="6691c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границ оценочных зон и поправочных коэффициентов к базовым ставкам платы за земельные участки в населенных пунктах Уйгурского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Уйгурского района Алматинской области от 02 октября 2012 года N 10-2. Зарегистрировано Департаментом юстиции Алматинской области 09 ноября 2012 года N 2165. Утратило силу решением Уйгурского районного маслихата Алматинской области от 17 ноября 2021 года № 7-15-72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Уйгурского районного маслихата Алматинской области от 17.11.2021 </w:t>
      </w:r>
      <w:r>
        <w:rPr>
          <w:rFonts w:ascii="Times New Roman"/>
          <w:b w:val="false"/>
          <w:i w:val="false"/>
          <w:color w:val="ff0000"/>
          <w:sz w:val="28"/>
        </w:rPr>
        <w:t>№ 7-15-72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Уйгурский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границы оценочных зон и поправочных коэффициентов к базовым ставкам платы за земельные участки в населенных пунктах Уйгурского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"По вопросам бюджета, социально-экономического развития, промышленности, транспорта, строительства, связи, экологии и эффективного использования природных ресурсов".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Дауренбеков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Начальник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учреждения "Отдел земельных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отношений Уйгурского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Манасбаев Азатжан Нурумханович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02 октября 2012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Начальник Налогового Управления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по Уйгурскому району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Сауданбеков Айдын Тұрғанбекұлы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Приложениек решению Уйгурского районного маслихата "Об утверждении границ оценочных зон и поправочных коэффициентов к базовым ставкам платы за земельные участки в населенных пунктах Уйгурского района" N 10-2 от 02 октября 2012 года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границ оценочных зон к базовым ставкам</w:t>
      </w:r>
      <w:r>
        <w:br/>
      </w:r>
      <w:r>
        <w:rPr>
          <w:rFonts w:ascii="Times New Roman"/>
          <w:b/>
          <w:i w:val="false"/>
          <w:color w:val="000000"/>
        </w:rPr>
        <w:t>платы за земельные участки в населенных пунктах Уйгурского</w:t>
      </w:r>
      <w:r>
        <w:br/>
      </w:r>
      <w:r>
        <w:rPr>
          <w:rFonts w:ascii="Times New Roman"/>
          <w:b/>
          <w:i w:val="false"/>
          <w:color w:val="000000"/>
        </w:rPr>
        <w:t>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6"/>
        <w:gridCol w:w="2782"/>
        <w:gridCol w:w="3075"/>
        <w:gridCol w:w="3487"/>
      </w:tblGrid>
      <w:tr>
        <w:trPr>
          <w:trHeight w:val="30" w:hRule="atLeast"/>
        </w:trPr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базовой платы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</w:t>
            </w:r>
          </w:p>
        </w:tc>
      </w:tr>
      <w:tr>
        <w:trPr>
          <w:trHeight w:val="30" w:hRule="atLeast"/>
        </w:trPr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Чунджа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(центральная часть)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</w:tr>
      <w:tr>
        <w:trPr>
          <w:trHeight w:val="30" w:hRule="atLeast"/>
        </w:trPr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Чунджа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(застроенная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</w:tr>
      <w:tr>
        <w:trPr>
          <w:trHeight w:val="30" w:hRule="atLeast"/>
        </w:trPr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Чунджа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(незастроенная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</w:t>
            </w:r>
          </w:p>
        </w:tc>
      </w:tr>
      <w:tr>
        <w:trPr>
          <w:trHeight w:val="30" w:hRule="atLeast"/>
        </w:trPr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Тасқарасу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</w:tr>
      <w:tr>
        <w:trPr>
          <w:trHeight w:val="30" w:hRule="atLeast"/>
        </w:trPr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Бахар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Чарын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(застроенная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Рахат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Тиермен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</w:tr>
      <w:tr>
        <w:trPr>
          <w:trHeight w:val="30" w:hRule="atLeast"/>
        </w:trPr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Большой Аксу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Ширин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3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</w:tr>
      <w:tr>
        <w:trPr>
          <w:trHeight w:val="30" w:hRule="atLeast"/>
        </w:trPr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Кыргызсай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Сумбе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(центральная часть)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Ават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Чарын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(незастроенная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Дардамты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Малый Дихан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Кольжат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Кетмень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Долайты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3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0.8</w:t>
            </w:r>
          </w:p>
        </w:tc>
      </w:tr>
      <w:tr>
        <w:trPr>
          <w:trHeight w:val="30" w:hRule="atLeast"/>
        </w:trPr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Малый Аксу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Сумбе (южная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Сункар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Ардолайты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Шошанай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3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0.6</w:t>
            </w:r>
          </w:p>
        </w:tc>
      </w:tr>
      <w:tr>
        <w:trPr>
          <w:trHeight w:val="30" w:hRule="atLeast"/>
        </w:trPr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Узынтам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Добын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Большой Дихан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Кепебулак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Канал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Ферма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