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dc5e" w14:textId="c87d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
на учет и очередность граждан, нуждающихся в жилище из государственного жилищного фонда или жилища, арендованным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Алматинской области от 24 декабря 2012 года N 424. Зарегистрировано Департаментом юстиции Алматинской области 28 января 2013 года N 2292. Утратило силу постановлением акимата Алматинской области от 02 июня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02.06.2014 № 196.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"Об утверждении стандарта оказания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Бескемпирова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2012 год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"Постановка на учет и</w:t>
      </w:r>
      <w:r>
        <w:br/>
      </w:r>
      <w:r>
        <w:rPr>
          <w:rFonts w:ascii="Times New Roman"/>
          <w:b/>
          <w:i w:val="false"/>
          <w:color w:val="000000"/>
        </w:rPr>
        <w:t>
очередность граждан, нуждающихся в жилище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или 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
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услуга) оказывается отделом жилищно-коммунального хозяйства, пассажирского транспорта и автомобильных дорог районов и городов Алматинской области, а также через центры обслуживания населения (далее – центр) и через веб-портал "электронного правительства"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"Об утверждении стандарта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– Стандарт),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"электронного правительства" -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Структурно–функциональные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АРМ – автоматизированное рабочие место.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N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11 Стандарта, а также выбор потребителем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(уведомление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(диаграмма N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(уведомление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(диаграмма N 3) функционального взаимодействия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ФЛ, данных представителя по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ФЛ, даны представителя по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(уведомление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"Заказать услугу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"подписать" осуществляет удостоверение (подписание) запроса ЭЦП, после чего запрос передается на обработку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услуге: на портале "электронного правительства" в разделе "История получения услуг", а также при обращении в МИО/Центр.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"/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приведены экранные формы,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8"/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9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3203"/>
        <w:gridCol w:w="2328"/>
        <w:gridCol w:w="2620"/>
        <w:gridCol w:w="1747"/>
        <w:gridCol w:w="2913"/>
      </w:tblGrid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хода, потока работ)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ПЭП по ИИН и пароля.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ЭЦП.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</w:tr>
      <w:tr>
        <w:trPr>
          <w:trHeight w:val="10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3"/>
        <w:gridCol w:w="2862"/>
        <w:gridCol w:w="3963"/>
        <w:gridCol w:w="2423"/>
      </w:tblGrid>
      <w:tr>
        <w:trPr>
          <w:trHeight w:val="48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08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28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нарушений нет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2699"/>
        <w:gridCol w:w="2557"/>
        <w:gridCol w:w="2557"/>
        <w:gridCol w:w="2415"/>
      </w:tblGrid>
      <w:tr>
        <w:trPr>
          <w:trHeight w:val="67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Улугодатель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</w:tr>
      <w:tr>
        <w:trPr>
          <w:trHeight w:val="16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потребителя в ГБД ФЛ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данных ГБД ФЛ </w:t>
            </w:r>
          </w:p>
        </w:tc>
      </w:tr>
      <w:tr>
        <w:trPr>
          <w:trHeight w:val="16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отказа.</w:t>
            </w:r>
          </w:p>
        </w:tc>
      </w:tr>
      <w:tr>
        <w:trPr>
          <w:trHeight w:val="51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</w:tr>
      <w:tr>
        <w:trPr>
          <w:trHeight w:val="88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2.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5"/>
        <w:gridCol w:w="3303"/>
        <w:gridCol w:w="4227"/>
        <w:gridCol w:w="2246"/>
      </w:tblGrid>
      <w:tr>
        <w:trPr>
          <w:trHeight w:val="675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1695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в АРМ РШЭП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потребителя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695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51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885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нарушений нет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3700"/>
        <w:gridCol w:w="2510"/>
        <w:gridCol w:w="1981"/>
        <w:gridCol w:w="1981"/>
        <w:gridCol w:w="2774"/>
      </w:tblGrid>
      <w:tr>
        <w:trPr>
          <w:trHeight w:val="67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79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 в ГБД ФЛ, ЕНИС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56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28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3.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0"/>
        <w:gridCol w:w="4745"/>
        <w:gridCol w:w="3079"/>
        <w:gridCol w:w="523"/>
        <w:gridCol w:w="374"/>
      </w:tblGrid>
      <w:tr>
        <w:trPr>
          <w:trHeight w:val="675" w:hRule="atLeast"/>
        </w:trPr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документа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услуги</w:t>
            </w:r>
          </w:p>
        </w:tc>
      </w:tr>
      <w:tr>
        <w:trPr>
          <w:trHeight w:val="1560" w:hRule="atLeast"/>
        </w:trPr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с присвоени-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номера заявлению.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</w:tr>
      <w:tr>
        <w:trPr>
          <w:trHeight w:val="300" w:hRule="atLeast"/>
        </w:trPr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285" w:hRule="atLeast"/>
        </w:trPr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3"/>
    <w:bookmarkStart w:name="z9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9281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8646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ЦОН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9408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408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2738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8"/>
    <w:bookmarkStart w:name="z10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выходного документа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3246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выходного документа (отказа)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4643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21"/>
    <w:bookmarkStart w:name="z10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