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ba98" w14:textId="4b5b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7 декабря 2011 года N 53-296 "Об областном бюджете Алматинской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28 ноября 2012 года N 11-68. Зарегистрировано Департаментом юстиции Алматинской области 06 декабря 2012 года N 2209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2012 года N 1469 "О внесении изменений и дополнений в постановление Правительства Республики Казахстан от 1 декабря 2011 года N 1428 "О реализации Закона Республики Казахстан "О республиканском бюджете на 2012-2014 годы",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13 декабря 2011 года за N 2081, опубликовано в газетах "Огни Алатау" от 12 января 2012 года N 5-6 и "Жетісу" от 12 января 2012 года N 5-6),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8 февраля 2012 года N 2-12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17 февраля 2012 года за N 2085, опубликовано в газетах "Огни Алатау" от 6 марта 2012 года N 29 и "Жетісу" от 6 марта 2012 года N 29),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3 апреля 2012 года N 3-19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10 апреля 2012 года за N 2087, опубликовано в газетах "Огни Алатау" от 24 апреля 2012 года N 47 и "Жетісу" от 24 апреля 2012 года N 47),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 июня 2012 года N 5-33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7 июня 2012 года за N 2094, опубликовано в газетах "Огни Алатау" от 14 июня 2012 года N 67 и "Жетісу" от 14 июня 2012 года N 67),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23 августа 2012 года N 8-47 "О внесении изменений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6 сентября 2012 года за N 2101, опубликовано в газетах "Огни Алатау" от 18 сентября 2012 года N 106-107 и "Жетісу" от 18 сентября 2012 года N 106-107),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24 октября 2012 года N 9-54 "О внесении изменений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2 ноября 2012 года за N 2159, опубликовано в газетах "Огни Алатау" от 24 ноября 2012 года N 133 и "Жетісу" от 24 ноября 2012 года N 133)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"216210203" заменить на цифры "215161316";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"190239031" заменить на цифры "189190144";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бюджета-всего" цифры "166612359" заменить на цифры "165563462";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"33714470" заменить на цифры "32780157",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цифры "6188482" заменить на цифры "6153817";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"здравоохранение" цифры "8197319" заменить на цифры "8508260";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"социальную помощь" цифры "778730" заменить на цифры "722844";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 мер социальной поддержки специалистов социальной сферы сельских населенных пунктов" цифры "148532" заменить на цифры "144583";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"субсидии, направленные на развитие сельского хозяйства" цифры "8362946" заменить на цифры "7802214";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"организацию и проведение идентификации сельскохозяйственных животных" цифры "452808" заменить на цифры "450469";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"содержание, материально-техническое оснащение дополнительной штатной численности миграционной полиции, документирование оралманов" цифры "144172" заменить на цифры "79399";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 мероприятий в рамках Программы занятости 2020" цифры "1230747" заменить на цифры "1212976";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"формирование региональных стабилизационных фондов продовольственных товаров" цифры "1727597" заменить на цифры "1222458";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"29015102" заменить на цифры "28900518",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объектов образования" цифры "4788788" заменить на цифры "4585506";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"сейсмоусиление объектов здравоохранения" цифры "228132" заменить на цифры "195410";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в сельских населенных пунктах" цифры "2399543" заменить на цифры "2383454";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цифры "2680282" заменить на цифры "2817791".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"220401308" заменить на цифры "219184977".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"-7251045" заменить на цифру "-7083600".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"7251045" заменить на цифру "7083600".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"6574710" заменить на цифры "6549276";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"4987424" заменить на цифры "4873442";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"2875659" заменить на цифры "2976157";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"237626" заменить на цифры "237452";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"190890" заменить на цифры "141170";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"1103884" заменить на цифры "1060163";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"43826" заменить на цифры "22961";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"1652439" заменить на цифры "1675834";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"1200396" заменить на цифры "1135805";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"844134" заменить на цифры "779543";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"8197319" заменить на цифры "8508260";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"4870511" заменить на цифры "4947990";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"2724691" заменить на цифры "2958844";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"599636" заменить на цифры "598945";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"644118" заменить на цифры "614622";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"35187" заменить на цифры "5691";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"582440" заменить на цифры "559794";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"105891" заменить на цифры "96852";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"9737" заменить на цифры "8237";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"118936" заменить на цифры "106829";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"9007" заменить на цифры "7200";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"1230747" заменить на цифры "1212976";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"8362946" заменить на цифры "7802214";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"1288578" заменить на цифры "847356";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"субсидирование повышения продуктивности и качества товарного рыбоводства – 119510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"148532" заменить на цифры "144583";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"452808" заменить на цифры "450469";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"10255033" заменить на цифру "10066490";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"8404844" заменить на цифру "8397022";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"3185181" заменить на цифру "3189124";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"7841684" заменить на цифру "7821029";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"4670618" заменить на цифру "4765598";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"564664" заменить на цифру "558257";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"370034" заменить на цифру "369689";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"296529" заменить на цифру "284782";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"282009" заменить на цифру "327009".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Приложение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областного маслихата                Е. Кошанбеков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</w:t>
      </w:r>
      <w:r>
        <w:rPr>
          <w:rFonts w:ascii="Times New Roman"/>
          <w:b w:val="false"/>
          <w:i/>
          <w:color w:val="000000"/>
          <w:sz w:val="28"/>
        </w:rPr>
        <w:t xml:space="preserve">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ноября 2012 года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513"/>
        <w:gridCol w:w="2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215161316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25922623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14441742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14441742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10305727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10305727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банковских счетах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189190144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23626682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23626682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165563462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165563462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73"/>
        <w:gridCol w:w="693"/>
        <w:gridCol w:w="885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219184977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2089918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186672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1535902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1535902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1229589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6449074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6449074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6335898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5176837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980844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44048527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4036320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2976157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1060163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3089369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1425029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1184484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1664340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798761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237452</w:t>
            </w:r>
          </w:p>
        </w:tc>
      </w:tr>
      <w:tr>
        <w:trPr>
          <w:trHeight w:val="17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4619005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4387431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4080278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814162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779543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31489671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21255485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17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678902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19357046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10234186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4585506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5480984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36039913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1064629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964629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7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 годы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8748989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8748989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4602979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731331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618950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20463554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20463554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18842455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5404174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3274481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1928376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2572822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1759743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486085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799312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103536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1592960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1585760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608931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29796416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15872858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 нужд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12655921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1531334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1037263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148437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356434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708105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13923558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691110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13232448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4765598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7534405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1726416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4372675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3096036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4660007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4502091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1087253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334473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1199234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животноводческой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ядохимикадов и тары из-под них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20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</w:t>
            </w:r>
          </w:p>
        </w:tc>
      </w:tr>
      <w:tr>
        <w:trPr>
          <w:trHeight w:val="20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1135562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1133474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606022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590869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387658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9505889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8283431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6524670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атрибутов ветеринарного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зоогигиенического назначения,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1222458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1222458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967980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900574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9792302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1995970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1995970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401965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242779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вопросов обустройства моногородов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</w:tr>
      <w:tr>
        <w:trPr>
          <w:trHeight w:val="26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693"/>
        <w:gridCol w:w="933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53"/>
        <w:gridCol w:w="693"/>
        <w:gridCol w:w="881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33"/>
        <w:gridCol w:w="573"/>
        <w:gridCol w:w="893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93"/>
        <w:gridCol w:w="9493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-7083600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7083600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5181291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5181291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93"/>
        <w:gridCol w:w="877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</w:tbl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693"/>
        <w:gridCol w:w="2053"/>
        <w:gridCol w:w="2593"/>
        <w:gridCol w:w="2793"/>
        <w:gridCol w:w="2733"/>
      </w:tblGrid>
      <w:tr>
        <w:trPr>
          <w:trHeight w:val="42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пед.работ-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зов-ных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УИС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895453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535885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362487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401455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6549276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613"/>
        <w:gridCol w:w="3213"/>
        <w:gridCol w:w="2433"/>
        <w:gridCol w:w="29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69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303712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92979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280184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228254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243424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202353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1060163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1675834</w:t>
            </w:r>
          </w:p>
        </w:tc>
      </w:tr>
    </w:tbl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13"/>
        <w:gridCol w:w="1493"/>
        <w:gridCol w:w="1953"/>
        <w:gridCol w:w="1913"/>
        <w:gridCol w:w="2413"/>
        <w:gridCol w:w="2473"/>
      </w:tblGrid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614622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реализацию мероприятий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 за счет средств 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713"/>
        <w:gridCol w:w="1573"/>
        <w:gridCol w:w="1833"/>
        <w:gridCol w:w="1753"/>
        <w:gridCol w:w="1673"/>
        <w:gridCol w:w="1633"/>
        <w:gridCol w:w="1593"/>
      </w:tblGrid>
      <w:tr>
        <w:trPr>
          <w:trHeight w:val="3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на развитие сельских населенных пунктов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 за счет средств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253"/>
        <w:gridCol w:w="6473"/>
      </w:tblGrid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</w:tbl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53"/>
        <w:gridCol w:w="1813"/>
        <w:gridCol w:w="1553"/>
        <w:gridCol w:w="1313"/>
        <w:gridCol w:w="1313"/>
        <w:gridCol w:w="1333"/>
        <w:gridCol w:w="1333"/>
        <w:gridCol w:w="1633"/>
      </w:tblGrid>
      <w:tr>
        <w:trPr>
          <w:trHeight w:val="75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653"/>
        <w:gridCol w:w="603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</w:tbl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33"/>
        <w:gridCol w:w="2193"/>
        <w:gridCol w:w="3293"/>
        <w:gridCol w:w="2993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10066490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4585506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549667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1119432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1677129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</w:tbl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73"/>
        <w:gridCol w:w="2153"/>
        <w:gridCol w:w="3333"/>
        <w:gridCol w:w="281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8397022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4483285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1481871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</w:tbl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3573"/>
        <w:gridCol w:w="2833"/>
      </w:tblGrid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3189124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1531334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</w:tbl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2011 года N 53-296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</w:t>
      </w:r>
    </w:p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33"/>
        <w:gridCol w:w="1773"/>
        <w:gridCol w:w="2533"/>
        <w:gridCol w:w="2293"/>
        <w:gridCol w:w="261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7821029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2383454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975073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350764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757182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13"/>
        <w:gridCol w:w="2393"/>
        <w:gridCol w:w="3173"/>
        <w:gridCol w:w="245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4765598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353796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1051646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713487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</w:p>
        </w:tc>
      </w:tr>
    </w:tbl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93"/>
        <w:gridCol w:w="651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195188</w:t>
            </w:r>
          </w:p>
        </w:tc>
      </w:tr>
    </w:tbl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в рамках Программы занятости 2020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33"/>
        <w:gridCol w:w="1753"/>
        <w:gridCol w:w="2253"/>
        <w:gridCol w:w="1933"/>
        <w:gridCol w:w="2233"/>
        <w:gridCol w:w="2233"/>
      </w:tblGrid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119047</w:t>
            </w:r>
          </w:p>
        </w:tc>
      </w:tr>
    </w:tbl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на выкуп земельных участков для государственных нужд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из республиканского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093"/>
        <w:gridCol w:w="5693"/>
      </w:tblGrid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</w:tbl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 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разработку генеральных планов застройки поселков и</w:t>
      </w:r>
      <w:r>
        <w:br/>
      </w:r>
      <w:r>
        <w:rPr>
          <w:rFonts w:ascii="Times New Roman"/>
          <w:b/>
          <w:i w:val="false"/>
          <w:color w:val="000000"/>
        </w:rPr>
        <w:t>
иных сельских населенных пунктов из областного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53"/>
        <w:gridCol w:w="6353"/>
      </w:tblGrid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