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bf7b" w14:textId="d05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цены на закупки и реализацию семян первой, второй и третьей репродукций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мая 2012 года N 156. Зарегистрировано Департаментом юстиции Алматинской области 20 июня 2012 года за N 2096.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Правилами адресного субсидирования из местных бюджетов на развитие семеноводства,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N 381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предельную цену на закупку сельхозтоваропроизводителями и реализацию семеноводческими хозяйствами семян первой, второй и третьей репродукций и определить размер субсидий на тонну семян по видам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(Алиева Б. Б.) утвердить объемы семян сельскохозяйственных культур первой, второй и третьей репродукции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156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предельной цены на закупки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 и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объемов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Предельная цена на закупки сельхозтоваропроизводителями и</w:t>
      </w:r>
      <w:r>
        <w:br/>
      </w:r>
      <w:r>
        <w:rPr>
          <w:rFonts w:ascii="Times New Roman"/>
          <w:b/>
          <w:i w:val="false"/>
          <w:color w:val="000000"/>
        </w:rPr>
        <w:t>
реализацию семеноводческими хозяйствами семян первой, второй и</w:t>
      </w:r>
      <w:r>
        <w:br/>
      </w:r>
      <w:r>
        <w:rPr>
          <w:rFonts w:ascii="Times New Roman"/>
          <w:b/>
          <w:i w:val="false"/>
          <w:color w:val="000000"/>
        </w:rPr>
        <w:t>
третьей репродукций и размер субсидий на 1 тонну семян по видам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440"/>
        <w:gridCol w:w="1681"/>
        <w:gridCol w:w="1757"/>
        <w:gridCol w:w="1681"/>
        <w:gridCol w:w="1402"/>
        <w:gridCol w:w="1547"/>
        <w:gridCol w:w="1527"/>
        <w:gridCol w:w="1561"/>
      </w:tblGrid>
      <w:tr>
        <w:trPr>
          <w:trHeight w:val="28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