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db3" w14:textId="020f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03 мая 2012 года N 4-23 и постановление акимата Алматинской области от 3 мая 2012 года N 114. Зарегистрировано Департаментом юстиции Алматинской области 21 мая 2012 года за N 2092. Утратило силу решением Алматинского областно маслихата от 31 июля 2019 года № 51-259 и постановлением акимата Алматинской области от 6 августа 2019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 маслихата от 31.07.2019 </w:t>
      </w:r>
      <w:r>
        <w:rPr>
          <w:rFonts w:ascii="Times New Roman"/>
          <w:b w:val="false"/>
          <w:i w:val="false"/>
          <w:color w:val="ff0000"/>
          <w:sz w:val="28"/>
        </w:rPr>
        <w:t>№ 51-259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Алматинской области от 06.08.2019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 в зависимости от местных условий и особенностей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Алматинской области и решения Алматинского областного маслихата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Мамбеталиев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Бескемпиров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03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4-23 и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мая 2012 года N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базовых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земельные участки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частную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областном центре,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Алматинской области"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земельные участки при их предоставлении в частную</w:t>
      </w:r>
      <w:r>
        <w:br/>
      </w:r>
      <w:r>
        <w:rPr>
          <w:rFonts w:ascii="Times New Roman"/>
          <w:b/>
          <w:i w:val="false"/>
          <w:color w:val="000000"/>
        </w:rPr>
        <w:t>собственность в областном центре, городах областного и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поселках и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6"/>
        <w:gridCol w:w="4182"/>
        <w:gridCol w:w="4182"/>
      </w:tblGrid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квадратный метр</w:t>
            </w:r>
          </w:p>
        </w:tc>
      </w:tr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центр)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от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</w:t>
            </w:r>
          </w:p>
        </w:tc>
      </w:tr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 и сельские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зонах: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предгорно-пустынно-степной,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субтропической пустынной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предгорно-пустынной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Примечание: базовые ставки платы за земельные участки в городах применяются в пределах границ, определенных их генеральными планами.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