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9b0c" w14:textId="4df9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13 августа 2012 года № 283. Зарегистрировано Департаментом юстиции Актюбинской области 14 сентября 2012 года № 3415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акимат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Актюбинской области от 30.03.2016 </w:t>
      </w:r>
      <w:r>
        <w:rPr>
          <w:rFonts w:ascii="Times New Roman"/>
          <w:b w:val="false"/>
          <w:i w:val="false"/>
          <w:color w:val="00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Актюбинской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сельского хозяйства Актюбинской области" обеспечить размещение настоящих Правил на интернет-ресурсе Управления.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Абдуллина М. 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Актюбинской области от 21.05.2018 </w:t>
      </w:r>
      <w:r>
        <w:rPr>
          <w:rFonts w:ascii="Times New Roman"/>
          <w:b w:val="false"/>
          <w:i w:val="false"/>
          <w:color w:val="000000"/>
          <w:sz w:val="28"/>
        </w:rPr>
        <w:t>№ 219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Актюбинской области</w:t>
            </w:r>
            <w:r>
              <w:br/>
            </w:r>
            <w:r>
              <w:rPr>
                <w:rFonts w:ascii="Times New Roman"/>
                <w:b w:val="false"/>
                <w:i w:val="false"/>
                <w:color w:val="000000"/>
                <w:sz w:val="20"/>
              </w:rPr>
              <w:t>от 13 августа 2012 года</w:t>
            </w:r>
            <w:r>
              <w:br/>
            </w:r>
            <w:r>
              <w:rPr>
                <w:rFonts w:ascii="Times New Roman"/>
                <w:b w:val="false"/>
                <w:i w:val="false"/>
                <w:color w:val="000000"/>
                <w:sz w:val="20"/>
              </w:rPr>
              <w:t>№ 283</w:t>
            </w:r>
          </w:p>
        </w:tc>
      </w:tr>
    </w:tbl>
    <w:bookmarkStart w:name="z18"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отбора инновационных проектов</w:t>
      </w:r>
      <w:r>
        <w:br/>
      </w:r>
      <w:r>
        <w:rPr>
          <w:rFonts w:ascii="Times New Roman"/>
          <w:b/>
          <w:i w:val="false"/>
          <w:color w:val="000000"/>
        </w:rPr>
        <w:t>в области агропромышленного комплекса Актюбинской области</w:t>
      </w:r>
      <w:r>
        <w:br/>
      </w:r>
      <w:r>
        <w:rPr>
          <w:rFonts w:ascii="Times New Roman"/>
          <w:b/>
          <w:i w:val="false"/>
          <w:color w:val="000000"/>
        </w:rPr>
        <w:t>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7"/>
    <w:p>
      <w:pPr>
        <w:spacing w:after="0"/>
        <w:ind w:left="0"/>
        <w:jc w:val="left"/>
      </w:pPr>
      <w:r>
        <w:rPr>
          <w:rFonts w:ascii="Times New Roman"/>
          <w:b w:val="false"/>
          <w:i w:val="false"/>
          <w:color w:val="000000"/>
          <w:sz w:val="28"/>
        </w:rPr>
        <w:t>
      1) субъекты агропромышленного комплекса (далее- субъект АПК) – физические и юридические лица, осуществляющие деятельность в агропромышленном комплексе;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администратор бюджетной Программы – уполномоченный орган, ответственный за планирование, обоснование, реализацию и достижение результатов бюджетных программы по распространению и внедрению инновационного опыта в сфере АПК области (далее - администратор Программы);</w:t>
      </w:r>
    </w:p>
    <w:p>
      <w:pPr>
        <w:spacing w:after="0"/>
        <w:ind w:left="0"/>
        <w:jc w:val="both"/>
      </w:pPr>
      <w:r>
        <w:rPr>
          <w:rFonts w:ascii="Times New Roman"/>
          <w:b w:val="false"/>
          <w:i w:val="false"/>
          <w:color w:val="000000"/>
          <w:sz w:val="28"/>
        </w:rPr>
        <w:t>
      3) программа – бюджетная программа 019 "Услуги по распространению и внедрению инновационного опыта";</w:t>
      </w:r>
    </w:p>
    <w:p>
      <w:pPr>
        <w:spacing w:after="0"/>
        <w:ind w:left="0"/>
        <w:jc w:val="both"/>
      </w:pPr>
      <w:r>
        <w:rPr>
          <w:rFonts w:ascii="Times New Roman"/>
          <w:b w:val="false"/>
          <w:i w:val="false"/>
          <w:color w:val="000000"/>
          <w:sz w:val="28"/>
        </w:rPr>
        <w:t>
      4) мероприятие Программы – комплекс мер по распространению и внедрению инновационного опыта в АПК, со сроком реализации каждого мероприятия не превышающим двух лет;</w:t>
      </w:r>
    </w:p>
    <w:p>
      <w:pPr>
        <w:spacing w:after="0"/>
        <w:ind w:left="0"/>
        <w:jc w:val="both"/>
      </w:pPr>
      <w:r>
        <w:rPr>
          <w:rFonts w:ascii="Times New Roman"/>
          <w:b w:val="false"/>
          <w:i w:val="false"/>
          <w:color w:val="000000"/>
          <w:sz w:val="28"/>
        </w:rPr>
        <w:t>
      5) научно-исследовательские организации (далее НИО) – юридические лица, основной деятельностью которых является проведение научно-исследовательских работ в сфере АПК, имеющие государственную аккредитацию на проведение научных исследований;</w:t>
      </w:r>
    </w:p>
    <w:p>
      <w:pPr>
        <w:spacing w:after="0"/>
        <w:ind w:left="0"/>
        <w:jc w:val="both"/>
      </w:pPr>
      <w:r>
        <w:rPr>
          <w:rFonts w:ascii="Times New Roman"/>
          <w:b w:val="false"/>
          <w:i w:val="false"/>
          <w:color w:val="000000"/>
          <w:sz w:val="28"/>
        </w:rPr>
        <w:t>
      6) заявка</w:t>
      </w:r>
      <w:r>
        <w:rPr>
          <w:rFonts w:ascii="Times New Roman"/>
          <w:b/>
          <w:i w:val="false"/>
          <w:color w:val="000000"/>
          <w:sz w:val="28"/>
        </w:rPr>
        <w:t xml:space="preserve"> –</w:t>
      </w:r>
      <w:r>
        <w:rPr>
          <w:rFonts w:ascii="Times New Roman"/>
          <w:b w:val="false"/>
          <w:i w:val="false"/>
          <w:color w:val="000000"/>
          <w:sz w:val="28"/>
        </w:rPr>
        <w:t xml:space="preserve"> пакет документов, установленные настоящими Правилами, предоставляемый заявителями администратору Программы в целях получения финансирования;</w:t>
      </w:r>
    </w:p>
    <w:p>
      <w:pPr>
        <w:spacing w:after="0"/>
        <w:ind w:left="0"/>
        <w:jc w:val="both"/>
      </w:pPr>
      <w:r>
        <w:rPr>
          <w:rFonts w:ascii="Times New Roman"/>
          <w:b w:val="false"/>
          <w:i w:val="false"/>
          <w:color w:val="000000"/>
          <w:sz w:val="28"/>
        </w:rPr>
        <w:t>
      7) заявители – научно-исследовательская организация и субъект АПК, совместно заявляющие мероприятие Программы, не находящиеся в процессе ликвидации, банкротства;</w:t>
      </w:r>
    </w:p>
    <w:p>
      <w:pPr>
        <w:spacing w:after="0"/>
        <w:ind w:left="0"/>
        <w:jc w:val="both"/>
      </w:pPr>
      <w:r>
        <w:rPr>
          <w:rFonts w:ascii="Times New Roman"/>
          <w:b w:val="false"/>
          <w:i w:val="false"/>
          <w:color w:val="000000"/>
          <w:sz w:val="28"/>
        </w:rPr>
        <w:t>
      8) комиссия по отбору заявок и финансированию мероприятий прораммы (далее – Комиссия) – постоянно действующий коллегиальный орган при местном исполнительном органе, образованный постановлением акимата области для проведения комплексной оценки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3. Отбор мероприятий Программы производится по следующим отраслевым направлениям агропромышленного комплекса:</w:t>
      </w:r>
    </w:p>
    <w:bookmarkEnd w:id="8"/>
    <w:p>
      <w:pPr>
        <w:spacing w:after="0"/>
        <w:ind w:left="0"/>
        <w:jc w:val="both"/>
      </w:pPr>
      <w:r>
        <w:rPr>
          <w:rFonts w:ascii="Times New Roman"/>
          <w:b w:val="false"/>
          <w:i w:val="false"/>
          <w:color w:val="000000"/>
          <w:sz w:val="28"/>
        </w:rPr>
        <w:t>
      1) растениеводство (в том числе защита и карантин растений);</w:t>
      </w:r>
    </w:p>
    <w:p>
      <w:pPr>
        <w:spacing w:after="0"/>
        <w:ind w:left="0"/>
        <w:jc w:val="both"/>
      </w:pPr>
      <w:r>
        <w:rPr>
          <w:rFonts w:ascii="Times New Roman"/>
          <w:b w:val="false"/>
          <w:i w:val="false"/>
          <w:color w:val="000000"/>
          <w:sz w:val="28"/>
        </w:rPr>
        <w:t>
      2) животноводство и ветеринария;</w:t>
      </w:r>
    </w:p>
    <w:p>
      <w:pPr>
        <w:spacing w:after="0"/>
        <w:ind w:left="0"/>
        <w:jc w:val="both"/>
      </w:pPr>
      <w:r>
        <w:rPr>
          <w:rFonts w:ascii="Times New Roman"/>
          <w:b w:val="false"/>
          <w:i w:val="false"/>
          <w:color w:val="000000"/>
          <w:sz w:val="28"/>
        </w:rPr>
        <w:t>
      3) механизация сельского хозяйства;</w:t>
      </w:r>
    </w:p>
    <w:p>
      <w:pPr>
        <w:spacing w:after="0"/>
        <w:ind w:left="0"/>
        <w:jc w:val="both"/>
      </w:pPr>
      <w:r>
        <w:rPr>
          <w:rFonts w:ascii="Times New Roman"/>
          <w:b w:val="false"/>
          <w:i w:val="false"/>
          <w:color w:val="000000"/>
          <w:sz w:val="28"/>
        </w:rPr>
        <w:t>
      4) переработка сельскохозяйственной продукции;</w:t>
      </w:r>
    </w:p>
    <w:p>
      <w:pPr>
        <w:spacing w:after="0"/>
        <w:ind w:left="0"/>
        <w:jc w:val="both"/>
      </w:pPr>
      <w:r>
        <w:rPr>
          <w:rFonts w:ascii="Times New Roman"/>
          <w:b w:val="false"/>
          <w:i w:val="false"/>
          <w:color w:val="000000"/>
          <w:sz w:val="28"/>
        </w:rPr>
        <w:t>
      5) аквакультура (рыбоводство).</w:t>
      </w:r>
    </w:p>
    <w:p>
      <w:pPr>
        <w:spacing w:after="0"/>
        <w:ind w:left="0"/>
        <w:jc w:val="both"/>
      </w:pPr>
      <w:r>
        <w:rPr>
          <w:rFonts w:ascii="Times New Roman"/>
          <w:b w:val="false"/>
          <w:i w:val="false"/>
          <w:color w:val="000000"/>
          <w:sz w:val="28"/>
        </w:rPr>
        <w:t>
      В целях соответствия мероприятий Программы потребностям АПК региона внутри каждого из отраслевых направлений определяются приоритетные направления, в рамках которых производится отбор.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Актюбинской области от 21.05.2018 </w:t>
      </w:r>
      <w:r>
        <w:rPr>
          <w:rFonts w:ascii="Times New Roman"/>
          <w:b w:val="false"/>
          <w:i w:val="false"/>
          <w:color w:val="000000"/>
          <w:sz w:val="28"/>
        </w:rPr>
        <w:t>№ 219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Порядок отбора заявок</w:t>
      </w:r>
    </w:p>
    <w:bookmarkEnd w:id="9"/>
    <w:bookmarkStart w:name="z22" w:id="10"/>
    <w:p>
      <w:pPr>
        <w:spacing w:after="0"/>
        <w:ind w:left="0"/>
        <w:jc w:val="both"/>
      </w:pPr>
      <w:r>
        <w:rPr>
          <w:rFonts w:ascii="Times New Roman"/>
          <w:b w:val="false"/>
          <w:i w:val="false"/>
          <w:color w:val="000000"/>
          <w:sz w:val="28"/>
        </w:rPr>
        <w:t>
      4. Администратор Программы один раз в год в средствах массовой информации, а также на Интернет ресурсах местного исполнительного органа, за 15 (пятнадцать) рабочих дней до начала отбора публикует объявление о проведении отбора заявок среди заявителей мероприятий Программы.</w:t>
      </w:r>
    </w:p>
    <w:bookmarkEnd w:id="10"/>
    <w:p>
      <w:pPr>
        <w:spacing w:after="0"/>
        <w:ind w:left="0"/>
        <w:jc w:val="both"/>
      </w:pPr>
      <w:r>
        <w:rPr>
          <w:rFonts w:ascii="Times New Roman"/>
          <w:b w:val="false"/>
          <w:i w:val="false"/>
          <w:color w:val="000000"/>
          <w:sz w:val="28"/>
        </w:rPr>
        <w:t>
      В объявлении указываются сроки предоставления заявок, контактная информация администратора Программы для получения дополнительной информации, приоритетные направления развития АПК региона, по которым предусматривается выделение финансирования, другая сопутствующая информация.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Администратору Программы, для участия в отборе инновационных проектов, заявителями предоставляются следующие документы:</w:t>
      </w:r>
      <w:r>
        <w:br/>
      </w: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2) пояснительная записка к мероприятиям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план реализации мероприятий 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смета расходов реализации мероприятий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резюме специалистов заявителей, участвующих в реализации инвестиционного проекта;</w:t>
      </w:r>
      <w:r>
        <w:br/>
      </w:r>
      <w:r>
        <w:rPr>
          <w:rFonts w:ascii="Times New Roman"/>
          <w:b w:val="false"/>
          <w:i w:val="false"/>
          <w:color w:val="000000"/>
          <w:sz w:val="28"/>
        </w:rPr>
        <w:t>
      6)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 либо для сличения оригиналы документов в обязательном порядке;</w:t>
      </w:r>
      <w:r>
        <w:br/>
      </w:r>
      <w:r>
        <w:rPr>
          <w:rFonts w:ascii="Times New Roman"/>
          <w:b w:val="false"/>
          <w:i w:val="false"/>
          <w:color w:val="000000"/>
          <w:sz w:val="28"/>
        </w:rPr>
        <w:t>
      7) для юридических лиц:</w:t>
      </w:r>
      <w:r>
        <w:br/>
      </w:r>
      <w:r>
        <w:rPr>
          <w:rFonts w:ascii="Times New Roman"/>
          <w:b w:val="false"/>
          <w:i w:val="false"/>
          <w:color w:val="000000"/>
          <w:sz w:val="28"/>
        </w:rPr>
        <w:t>
      нотариально засвидетельствованные копии учредительных документов (устава и учредительного договора) юридического лица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или свидетельства о государственной регистрации (перерегистрации) юридического лица выданное регистрирующим органом;</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оригиналы справок банков или филиалов банков, в том числе иностранных банков с подписью и печатью, в которых обслуживается заявитель,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или филиалом банка. Справка должна быть выдана не ранее одного месяца на момент подачи заявки;</w:t>
      </w:r>
      <w:r>
        <w:br/>
      </w:r>
      <w:r>
        <w:rPr>
          <w:rFonts w:ascii="Times New Roman"/>
          <w:b w:val="false"/>
          <w:i w:val="false"/>
          <w:color w:val="000000"/>
          <w:sz w:val="28"/>
        </w:rPr>
        <w:t>
      нотариально заверенная копия свидетельства об аккредитации научно-исследовательской организации, либо для сличения оригиналы документов в обязательном порядке;</w:t>
      </w:r>
      <w:r>
        <w:br/>
      </w:r>
      <w:r>
        <w:rPr>
          <w:rFonts w:ascii="Times New Roman"/>
          <w:b w:val="false"/>
          <w:i w:val="false"/>
          <w:color w:val="000000"/>
          <w:sz w:val="28"/>
        </w:rPr>
        <w:t>
      8) для физических лиц:</w:t>
      </w:r>
      <w:r>
        <w:br/>
      </w:r>
      <w:r>
        <w:rPr>
          <w:rFonts w:ascii="Times New Roman"/>
          <w:b w:val="false"/>
          <w:i w:val="false"/>
          <w:color w:val="000000"/>
          <w:sz w:val="28"/>
        </w:rPr>
        <w:t>
      нотариально засвидетельствованную копию удостоверения личности гражданина Республики Казахстан, свидетельства о государственной регистрации индивидуального предпринимателя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письмо-заверение от заявителя об отсутствии просроченной задолженности перед банками второго уровня и другими финансовыми институтами.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6. Документы для участия в отборе предоставляются заявителем (ями) сформированными в единую папку, с пронумерованными страницами, оформленые в соответствии с требованиями настоящих Правил.</w:t>
      </w:r>
    </w:p>
    <w:bookmarkEnd w:id="11"/>
    <w:bookmarkStart w:name="z25" w:id="12"/>
    <w:p>
      <w:pPr>
        <w:spacing w:after="0"/>
        <w:ind w:left="0"/>
        <w:jc w:val="both"/>
      </w:pPr>
      <w:r>
        <w:rPr>
          <w:rFonts w:ascii="Times New Roman"/>
          <w:b w:val="false"/>
          <w:i w:val="false"/>
          <w:color w:val="000000"/>
          <w:sz w:val="28"/>
        </w:rPr>
        <w:t>
      7. Заявитель обеспечивает полноту и достоверность представленных документов, исходных данных, расчетов, обоснований.</w:t>
      </w:r>
    </w:p>
    <w:bookmarkEnd w:id="12"/>
    <w:bookmarkStart w:name="z26" w:id="13"/>
    <w:p>
      <w:pPr>
        <w:spacing w:after="0"/>
        <w:ind w:left="0"/>
        <w:jc w:val="both"/>
      </w:pPr>
      <w:r>
        <w:rPr>
          <w:rFonts w:ascii="Times New Roman"/>
          <w:b w:val="false"/>
          <w:i w:val="false"/>
          <w:color w:val="000000"/>
          <w:sz w:val="28"/>
        </w:rPr>
        <w:t>
      8. После истечения срока приема заявок администратором Программы в течение 5 (пяти) рабочих дней проводится предварительный отбор заявок.</w:t>
      </w:r>
    </w:p>
    <w:bookmarkEnd w:id="13"/>
    <w:p>
      <w:pPr>
        <w:spacing w:after="0"/>
        <w:ind w:left="0"/>
        <w:jc w:val="both"/>
      </w:pPr>
      <w:r>
        <w:rPr>
          <w:rFonts w:ascii="Times New Roman"/>
          <w:b w:val="false"/>
          <w:i w:val="false"/>
          <w:color w:val="000000"/>
          <w:sz w:val="28"/>
        </w:rPr>
        <w:t>
      Предварительный отбор проводится по следующим критериям:</w:t>
      </w:r>
    </w:p>
    <w:p>
      <w:pPr>
        <w:spacing w:after="0"/>
        <w:ind w:left="0"/>
        <w:jc w:val="both"/>
      </w:pPr>
      <w:r>
        <w:rPr>
          <w:rFonts w:ascii="Times New Roman"/>
          <w:b w:val="false"/>
          <w:i w:val="false"/>
          <w:color w:val="000000"/>
          <w:sz w:val="28"/>
        </w:rPr>
        <w:t>
      1) полнота представленной информации, ее соответствие требованиям настоящих Правил;</w:t>
      </w:r>
    </w:p>
    <w:p>
      <w:pPr>
        <w:spacing w:after="0"/>
        <w:ind w:left="0"/>
        <w:jc w:val="both"/>
      </w:pPr>
      <w:r>
        <w:rPr>
          <w:rFonts w:ascii="Times New Roman"/>
          <w:b w:val="false"/>
          <w:i w:val="false"/>
          <w:color w:val="000000"/>
          <w:sz w:val="28"/>
        </w:rPr>
        <w:t>
      2) соответствие мероприятий Программы приоритетным направлениям развития АПК региона.</w:t>
      </w:r>
    </w:p>
    <w:bookmarkStart w:name="z27" w:id="14"/>
    <w:p>
      <w:pPr>
        <w:spacing w:after="0"/>
        <w:ind w:left="0"/>
        <w:jc w:val="both"/>
      </w:pPr>
      <w:r>
        <w:rPr>
          <w:rFonts w:ascii="Times New Roman"/>
          <w:b w:val="false"/>
          <w:i w:val="false"/>
          <w:color w:val="000000"/>
          <w:sz w:val="28"/>
        </w:rPr>
        <w:t>
      9. Заявителям в течение 3 (трех) рабочих дней после окончания процесса предварительного отбора направляется письменное уведомление о прохождении этапа предварительного отбора либо об отклонении заявки с указанием причин.</w:t>
      </w:r>
    </w:p>
    <w:bookmarkEnd w:id="14"/>
    <w:bookmarkStart w:name="z28" w:id="15"/>
    <w:p>
      <w:pPr>
        <w:spacing w:after="0"/>
        <w:ind w:left="0"/>
        <w:jc w:val="both"/>
      </w:pPr>
      <w:r>
        <w:rPr>
          <w:rFonts w:ascii="Times New Roman"/>
          <w:b w:val="false"/>
          <w:i w:val="false"/>
          <w:color w:val="000000"/>
          <w:sz w:val="28"/>
        </w:rPr>
        <w:t>
      10. Заявка подлежит отклонению, в случае если:</w:t>
      </w:r>
    </w:p>
    <w:bookmarkEnd w:id="15"/>
    <w:p>
      <w:pPr>
        <w:spacing w:after="0"/>
        <w:ind w:left="0"/>
        <w:jc w:val="both"/>
      </w:pPr>
      <w:r>
        <w:rPr>
          <w:rFonts w:ascii="Times New Roman"/>
          <w:b w:val="false"/>
          <w:i w:val="false"/>
          <w:color w:val="000000"/>
          <w:sz w:val="28"/>
        </w:rPr>
        <w:t>
      1) заявителем представлена не полная либо недостоверная информация или оформление заявки не соответствует требованиям настоящих Правил;</w:t>
      </w:r>
    </w:p>
    <w:p>
      <w:pPr>
        <w:spacing w:after="0"/>
        <w:ind w:left="0"/>
        <w:jc w:val="both"/>
      </w:pPr>
      <w:r>
        <w:rPr>
          <w:rFonts w:ascii="Times New Roman"/>
          <w:b w:val="false"/>
          <w:i w:val="false"/>
          <w:color w:val="000000"/>
          <w:sz w:val="28"/>
        </w:rPr>
        <w:t>
      2) место реализации проекта находится за пределами области;</w:t>
      </w:r>
    </w:p>
    <w:p>
      <w:pPr>
        <w:spacing w:after="0"/>
        <w:ind w:left="0"/>
        <w:jc w:val="both"/>
      </w:pPr>
      <w:r>
        <w:rPr>
          <w:rFonts w:ascii="Times New Roman"/>
          <w:b w:val="false"/>
          <w:i w:val="false"/>
          <w:color w:val="000000"/>
          <w:sz w:val="28"/>
        </w:rPr>
        <w:t>
      3) заявляемое мероприятие Программы не относится к приоритетным направлениям развития АПК области;</w:t>
      </w:r>
    </w:p>
    <w:p>
      <w:pPr>
        <w:spacing w:after="0"/>
        <w:ind w:left="0"/>
        <w:jc w:val="both"/>
      </w:pPr>
      <w:r>
        <w:rPr>
          <w:rFonts w:ascii="Times New Roman"/>
          <w:b w:val="false"/>
          <w:i w:val="false"/>
          <w:color w:val="000000"/>
          <w:sz w:val="28"/>
        </w:rPr>
        <w:t>
      4) заявитель-субъект АПК ранее получил средства в рамках Программы, но ход реализации мероприятия Программы признан неудовлетворительным.</w:t>
      </w:r>
    </w:p>
    <w:bookmarkStart w:name="z12" w:id="16"/>
    <w:p>
      <w:pPr>
        <w:spacing w:after="0"/>
        <w:ind w:left="0"/>
        <w:jc w:val="left"/>
      </w:pPr>
      <w:r>
        <w:rPr>
          <w:rFonts w:ascii="Times New Roman"/>
          <w:b/>
          <w:i w:val="false"/>
          <w:color w:val="000000"/>
        </w:rPr>
        <w:t xml:space="preserve"> 3. Общие положения о комиссии, организация ее деятельности</w:t>
      </w:r>
    </w:p>
    <w:bookmarkEnd w:id="16"/>
    <w:bookmarkStart w:name="z29" w:id="17"/>
    <w:p>
      <w:pPr>
        <w:spacing w:after="0"/>
        <w:ind w:left="0"/>
        <w:jc w:val="both"/>
      </w:pPr>
      <w:r>
        <w:rPr>
          <w:rFonts w:ascii="Times New Roman"/>
          <w:b w:val="false"/>
          <w:i w:val="false"/>
          <w:color w:val="000000"/>
          <w:sz w:val="28"/>
        </w:rPr>
        <w:t>
      11. Комиссия является постоянно действующим коллегиальным органом. Комиссия организовывает свою работу на принципах открытости, гласности и коллегиальности.</w:t>
      </w:r>
    </w:p>
    <w:bookmarkEnd w:id="17"/>
    <w:bookmarkStart w:name="z30" w:id="18"/>
    <w:p>
      <w:pPr>
        <w:spacing w:after="0"/>
        <w:ind w:left="0"/>
        <w:jc w:val="both"/>
      </w:pPr>
      <w:r>
        <w:rPr>
          <w:rFonts w:ascii="Times New Roman"/>
          <w:b w:val="false"/>
          <w:i w:val="false"/>
          <w:color w:val="000000"/>
          <w:sz w:val="28"/>
        </w:rPr>
        <w:t xml:space="preserve">
      12. В своей деятельности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 Положением, а также иными нормативными правовыми актами Республики Казахстан.</w:t>
      </w:r>
    </w:p>
    <w:bookmarkEnd w:id="18"/>
    <w:bookmarkStart w:name="z31" w:id="19"/>
    <w:p>
      <w:pPr>
        <w:spacing w:after="0"/>
        <w:ind w:left="0"/>
        <w:jc w:val="both"/>
      </w:pPr>
      <w:r>
        <w:rPr>
          <w:rFonts w:ascii="Times New Roman"/>
          <w:b w:val="false"/>
          <w:i w:val="false"/>
          <w:color w:val="000000"/>
          <w:sz w:val="28"/>
        </w:rPr>
        <w:t>
      13. В состав комиссии включаются: заместитель акима области, курирующий вопросы сельского хозяйства, представители заинтересованных местных исполнительных органов, местных представительных органов (по согласованию), общественных объединений (по согласованию), палаты предпринимателей по Актюбинской области (по согласованию).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14. Комиссия состоит из председателя, секретаря и членов комиссии. Общий состав комиссии составляет не менее пяти человек.</w:t>
      </w:r>
    </w:p>
    <w:bookmarkEnd w:id="20"/>
    <w:bookmarkStart w:name="z33" w:id="21"/>
    <w:p>
      <w:pPr>
        <w:spacing w:after="0"/>
        <w:ind w:left="0"/>
        <w:jc w:val="both"/>
      </w:pPr>
      <w:r>
        <w:rPr>
          <w:rFonts w:ascii="Times New Roman"/>
          <w:b w:val="false"/>
          <w:i w:val="false"/>
          <w:color w:val="000000"/>
          <w:sz w:val="28"/>
        </w:rPr>
        <w:t>
      15. Рабочим органом Комиссии является администратор Программы.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акимата Актюбинской области от 30.03.2016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16. Оповещение заявителя о дате проведения заседания</w:t>
      </w:r>
      <w:r>
        <w:rPr>
          <w:rFonts w:ascii="Times New Roman"/>
          <w:b/>
          <w:i w:val="false"/>
          <w:color w:val="000000"/>
          <w:sz w:val="28"/>
        </w:rPr>
        <w:t xml:space="preserve">, </w:t>
      </w:r>
      <w:r>
        <w:rPr>
          <w:rFonts w:ascii="Times New Roman"/>
          <w:b w:val="false"/>
          <w:i w:val="false"/>
          <w:color w:val="000000"/>
          <w:sz w:val="28"/>
        </w:rPr>
        <w:t>подготовку предложений по повестке дня заседания Комиссии, необходимых документов, материалов и оформление протокола заседания Комиссии после его проведения осуществляет секретарь комиссии.</w:t>
      </w:r>
    </w:p>
    <w:bookmarkEnd w:id="22"/>
    <w:bookmarkStart w:name="z35" w:id="23"/>
    <w:p>
      <w:pPr>
        <w:spacing w:after="0"/>
        <w:ind w:left="0"/>
        <w:jc w:val="both"/>
      </w:pPr>
      <w:r>
        <w:rPr>
          <w:rFonts w:ascii="Times New Roman"/>
          <w:b w:val="false"/>
          <w:i w:val="false"/>
          <w:color w:val="000000"/>
          <w:sz w:val="28"/>
        </w:rPr>
        <w:t>
      17. Заседания комиссии правомочны при наличии двух третей от общего числа ее состава. Решения Комиссии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 Решение Комиссии может быть обжаловано в соответствии с действующим законодательством Республики Казахстан.</w:t>
      </w:r>
    </w:p>
    <w:bookmarkEnd w:id="23"/>
    <w:bookmarkStart w:name="z13" w:id="24"/>
    <w:p>
      <w:pPr>
        <w:spacing w:after="0"/>
        <w:ind w:left="0"/>
        <w:jc w:val="left"/>
      </w:pPr>
      <w:r>
        <w:rPr>
          <w:rFonts w:ascii="Times New Roman"/>
          <w:b/>
          <w:i w:val="false"/>
          <w:color w:val="000000"/>
        </w:rPr>
        <w:t xml:space="preserve"> 4. Комплексная оценка и отбор заявок</w:t>
      </w:r>
    </w:p>
    <w:bookmarkEnd w:id="24"/>
    <w:bookmarkStart w:name="z36" w:id="25"/>
    <w:p>
      <w:pPr>
        <w:spacing w:after="0"/>
        <w:ind w:left="0"/>
        <w:jc w:val="both"/>
      </w:pPr>
      <w:r>
        <w:rPr>
          <w:rFonts w:ascii="Times New Roman"/>
          <w:b w:val="false"/>
          <w:i w:val="false"/>
          <w:color w:val="000000"/>
          <w:sz w:val="28"/>
        </w:rPr>
        <w:t>
      18. Комиссией по проектам, прошедшим этап предварительного отбора заявок, обеспечивается проведение комплексной оценки заявок.</w:t>
      </w:r>
    </w:p>
    <w:bookmarkEnd w:id="25"/>
    <w:p>
      <w:pPr>
        <w:spacing w:after="0"/>
        <w:ind w:left="0"/>
        <w:jc w:val="both"/>
      </w:pPr>
      <w:r>
        <w:rPr>
          <w:rFonts w:ascii="Times New Roman"/>
          <w:b w:val="false"/>
          <w:i w:val="false"/>
          <w:color w:val="000000"/>
          <w:sz w:val="28"/>
        </w:rPr>
        <w:t>
      Комплексная оценка проводится комиссией по следующим критериям:</w:t>
      </w:r>
    </w:p>
    <w:p>
      <w:pPr>
        <w:spacing w:after="0"/>
        <w:ind w:left="0"/>
        <w:jc w:val="both"/>
      </w:pPr>
      <w:r>
        <w:rPr>
          <w:rFonts w:ascii="Times New Roman"/>
          <w:b w:val="false"/>
          <w:i w:val="false"/>
          <w:color w:val="000000"/>
          <w:sz w:val="28"/>
        </w:rPr>
        <w:t>
      1) обоснованность запрашиваемого финансирования;</w:t>
      </w:r>
    </w:p>
    <w:p>
      <w:pPr>
        <w:spacing w:after="0"/>
        <w:ind w:left="0"/>
        <w:jc w:val="both"/>
      </w:pPr>
      <w:r>
        <w:rPr>
          <w:rFonts w:ascii="Times New Roman"/>
          <w:b w:val="false"/>
          <w:i w:val="false"/>
          <w:color w:val="000000"/>
          <w:sz w:val="28"/>
        </w:rPr>
        <w:t>
      2) соответствие направлений расходования финансирования, объемов финансирования и других параметров заявки требованиям настоящих Правил;</w:t>
      </w:r>
    </w:p>
    <w:p>
      <w:pPr>
        <w:spacing w:after="0"/>
        <w:ind w:left="0"/>
        <w:jc w:val="both"/>
      </w:pPr>
      <w:r>
        <w:rPr>
          <w:rFonts w:ascii="Times New Roman"/>
          <w:b w:val="false"/>
          <w:i w:val="false"/>
          <w:color w:val="000000"/>
          <w:sz w:val="28"/>
        </w:rPr>
        <w:t>
      3) степень влияния мероприятия Программы на развитие АПК региона и уровень производительности труда;</w:t>
      </w:r>
    </w:p>
    <w:p>
      <w:pPr>
        <w:spacing w:after="0"/>
        <w:ind w:left="0"/>
        <w:jc w:val="both"/>
      </w:pPr>
      <w:r>
        <w:rPr>
          <w:rFonts w:ascii="Times New Roman"/>
          <w:b w:val="false"/>
          <w:i w:val="false"/>
          <w:color w:val="000000"/>
          <w:sz w:val="28"/>
        </w:rPr>
        <w:t>
      4) соответствие правового статуса, платежеспособности заявителей требованиям настоящих Правил;</w:t>
      </w:r>
    </w:p>
    <w:p>
      <w:pPr>
        <w:spacing w:after="0"/>
        <w:ind w:left="0"/>
        <w:jc w:val="both"/>
      </w:pPr>
      <w:r>
        <w:rPr>
          <w:rFonts w:ascii="Times New Roman"/>
          <w:b w:val="false"/>
          <w:i w:val="false"/>
          <w:color w:val="000000"/>
          <w:sz w:val="28"/>
        </w:rPr>
        <w:t>
      5) соответствие квалификации и уровня технического оснащения заявителей целям и задачам мероприятия Программы.</w:t>
      </w:r>
    </w:p>
    <w:bookmarkStart w:name="z37" w:id="26"/>
    <w:p>
      <w:pPr>
        <w:spacing w:after="0"/>
        <w:ind w:left="0"/>
        <w:jc w:val="both"/>
      </w:pPr>
      <w:r>
        <w:rPr>
          <w:rFonts w:ascii="Times New Roman"/>
          <w:b w:val="false"/>
          <w:i w:val="false"/>
          <w:color w:val="000000"/>
          <w:sz w:val="28"/>
        </w:rPr>
        <w:t>
      19. В ходе проведения комплексной оценки заявки комиссия имеет право запрашивать у заявителей разъясняющую информацию, привлекать при необходимости сторонних специалистов соответствующей квалификации с целью обеспечения качественного проведения оценки. Комплексная оценка и отбор заявок проводится в течение 10 (десяти) рабочих дней.</w:t>
      </w:r>
    </w:p>
    <w:bookmarkEnd w:id="26"/>
    <w:bookmarkStart w:name="z38" w:id="27"/>
    <w:p>
      <w:pPr>
        <w:spacing w:after="0"/>
        <w:ind w:left="0"/>
        <w:jc w:val="both"/>
      </w:pPr>
      <w:r>
        <w:rPr>
          <w:rFonts w:ascii="Times New Roman"/>
          <w:b w:val="false"/>
          <w:i w:val="false"/>
          <w:color w:val="000000"/>
          <w:sz w:val="28"/>
        </w:rPr>
        <w:t>
      20. Заявителям, заявки которых получили отрицательное заключение комплексной оценки, администратор, в течение 5 (пяти) рабочих дней после принятия соответствующего протокольного решения комиссии, отправляет официальные письма с указанием причин отклонения.</w:t>
      </w:r>
    </w:p>
    <w:bookmarkEnd w:id="27"/>
    <w:bookmarkStart w:name="z39" w:id="28"/>
    <w:p>
      <w:pPr>
        <w:spacing w:after="0"/>
        <w:ind w:left="0"/>
        <w:jc w:val="both"/>
      </w:pPr>
      <w:r>
        <w:rPr>
          <w:rFonts w:ascii="Times New Roman"/>
          <w:b w:val="false"/>
          <w:i w:val="false"/>
          <w:color w:val="000000"/>
          <w:sz w:val="28"/>
        </w:rPr>
        <w:t>
      21. Положительное решение Комиссии по предоставлению средств является основанием для администратора по финансированию мероприятия Программы за счет выделенных средств.</w:t>
      </w:r>
    </w:p>
    <w:bookmarkEnd w:id="28"/>
    <w:bookmarkStart w:name="z40" w:id="29"/>
    <w:p>
      <w:pPr>
        <w:spacing w:after="0"/>
        <w:ind w:left="0"/>
        <w:jc w:val="both"/>
      </w:pPr>
      <w:r>
        <w:rPr>
          <w:rFonts w:ascii="Times New Roman"/>
          <w:b w:val="false"/>
          <w:i w:val="false"/>
          <w:color w:val="000000"/>
          <w:sz w:val="28"/>
        </w:rPr>
        <w:t>
      22. На основании рекомендации Комиссии администратором бюджетной программы в течение 5 (пяти) рабочих дней со дня подписания протокола ее заседания принимается в установленном законодательством порядке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w:t>
      </w:r>
    </w:p>
    <w:bookmarkEnd w:id="29"/>
    <w:bookmarkStart w:name="z41" w:id="30"/>
    <w:p>
      <w:pPr>
        <w:spacing w:after="0"/>
        <w:ind w:left="0"/>
        <w:jc w:val="both"/>
      </w:pPr>
      <w:r>
        <w:rPr>
          <w:rFonts w:ascii="Times New Roman"/>
          <w:b w:val="false"/>
          <w:i w:val="false"/>
          <w:color w:val="000000"/>
          <w:sz w:val="28"/>
        </w:rPr>
        <w:t>
      23. Администратор бюджетной программы в течение 5 (пяти) рабочих дней с дня принятия решения о финансировании инновационного проекта подписывает и направляет победителю (ям), определенным по итогам отбора, проект договора об инновационном проекте. Срок заключения договора об инновационном проекте не может быть более 30 (тридцати) календарных дней со дня направления заявителю (ям) проекта договора.</w:t>
      </w:r>
    </w:p>
    <w:bookmarkEnd w:id="30"/>
    <w:bookmarkStart w:name="z14" w:id="31"/>
    <w:p>
      <w:pPr>
        <w:spacing w:after="0"/>
        <w:ind w:left="0"/>
        <w:jc w:val="left"/>
      </w:pPr>
      <w:r>
        <w:rPr>
          <w:rFonts w:ascii="Times New Roman"/>
          <w:b/>
          <w:i w:val="false"/>
          <w:color w:val="000000"/>
        </w:rPr>
        <w:t xml:space="preserve"> 5. Финансирование и освоение средств</w:t>
      </w:r>
    </w:p>
    <w:bookmarkEnd w:id="31"/>
    <w:bookmarkStart w:name="z42" w:id="32"/>
    <w:p>
      <w:pPr>
        <w:spacing w:after="0"/>
        <w:ind w:left="0"/>
        <w:jc w:val="both"/>
      </w:pPr>
      <w:r>
        <w:rPr>
          <w:rFonts w:ascii="Times New Roman"/>
          <w:b w:val="false"/>
          <w:i w:val="false"/>
          <w:color w:val="000000"/>
          <w:sz w:val="28"/>
        </w:rPr>
        <w:t>
      24. Средства выплачиваются заявителю – научно-исследовательской организации согласно Плану реализации мероприятия Программы.</w:t>
      </w:r>
    </w:p>
    <w:bookmarkEnd w:id="32"/>
    <w:p>
      <w:pPr>
        <w:spacing w:after="0"/>
        <w:ind w:left="0"/>
        <w:jc w:val="both"/>
      </w:pPr>
      <w:r>
        <w:rPr>
          <w:rFonts w:ascii="Times New Roman"/>
          <w:b w:val="false"/>
          <w:i w:val="false"/>
          <w:color w:val="000000"/>
          <w:sz w:val="28"/>
        </w:rPr>
        <w:t>
      Порядок и форма оплаты предусматриваются условиями договора.</w:t>
      </w:r>
    </w:p>
    <w:bookmarkStart w:name="z43" w:id="33"/>
    <w:p>
      <w:pPr>
        <w:spacing w:after="0"/>
        <w:ind w:left="0"/>
        <w:jc w:val="both"/>
      </w:pPr>
      <w:r>
        <w:rPr>
          <w:rFonts w:ascii="Times New Roman"/>
          <w:b w:val="false"/>
          <w:i w:val="false"/>
          <w:color w:val="000000"/>
          <w:sz w:val="28"/>
        </w:rPr>
        <w:t>
      25. Средства используются строго в соответствии с целевым назначением, предусмотренным договором. Сумма запрашиваемых средств на реализацию одного мероприятия Программы не должна превышать размера 2500,0 (два миллиона пятьсот) тысяч тенге на один год.</w:t>
      </w:r>
    </w:p>
    <w:bookmarkEnd w:id="33"/>
    <w:bookmarkStart w:name="z44" w:id="34"/>
    <w:p>
      <w:pPr>
        <w:spacing w:after="0"/>
        <w:ind w:left="0"/>
        <w:jc w:val="both"/>
      </w:pPr>
      <w:r>
        <w:rPr>
          <w:rFonts w:ascii="Times New Roman"/>
          <w:b w:val="false"/>
          <w:i w:val="false"/>
          <w:color w:val="000000"/>
          <w:sz w:val="28"/>
        </w:rPr>
        <w:t>
      26. Заявители обязаны обеспечить ведение бухгалтерского учета платежей по мероприятию Программы.</w:t>
      </w:r>
    </w:p>
    <w:bookmarkEnd w:id="34"/>
    <w:bookmarkStart w:name="z45" w:id="35"/>
    <w:p>
      <w:pPr>
        <w:spacing w:after="0"/>
        <w:ind w:left="0"/>
        <w:jc w:val="both"/>
      </w:pPr>
      <w:r>
        <w:rPr>
          <w:rFonts w:ascii="Times New Roman"/>
          <w:b w:val="false"/>
          <w:i w:val="false"/>
          <w:color w:val="000000"/>
          <w:sz w:val="28"/>
        </w:rPr>
        <w:t>
      27. Средства не могут быть использованы на покрытие имеющейся налоговой задолженности участвующих в программе сторон.</w:t>
      </w:r>
    </w:p>
    <w:bookmarkEnd w:id="35"/>
    <w:bookmarkStart w:name="z46" w:id="36"/>
    <w:p>
      <w:pPr>
        <w:spacing w:after="0"/>
        <w:ind w:left="0"/>
        <w:jc w:val="both"/>
      </w:pPr>
      <w:r>
        <w:rPr>
          <w:rFonts w:ascii="Times New Roman"/>
          <w:b w:val="false"/>
          <w:i w:val="false"/>
          <w:color w:val="000000"/>
          <w:sz w:val="28"/>
        </w:rPr>
        <w:t>
      28. Затраты, связанные с приобретением основных средств, содержанием зданий и сооружений субъектов АПК, участвующих в реализации мероприятий Программы, с приобретением сельскохозяйственных животных, генетического материала, других расходных материалов для масштабного тиражирования результатов мероприятия Программы (горюче-смазочный материал, семенной материал, запасные части и другие) покрываются за счет собственных средств субъектов АПК.</w:t>
      </w:r>
    </w:p>
    <w:bookmarkEnd w:id="36"/>
    <w:bookmarkStart w:name="z47" w:id="37"/>
    <w:p>
      <w:pPr>
        <w:spacing w:after="0"/>
        <w:ind w:left="0"/>
        <w:jc w:val="both"/>
      </w:pPr>
      <w:r>
        <w:rPr>
          <w:rFonts w:ascii="Times New Roman"/>
          <w:b w:val="false"/>
          <w:i w:val="false"/>
          <w:color w:val="000000"/>
          <w:sz w:val="28"/>
        </w:rPr>
        <w:t>
      29. В ходе реализации проекта в целях проверки соответствия осуществленных затрат плану реализации, бюджету проекта администратор Программы, при необходимости - с привлечением специалистов заинтересованных уполномоченных органов местного исполнительного органа, осуществляет текущий финансовый мониторинг, включающий ежемесячное или ежеквартальное актирование выполненных работ в рамках реализации мероприятия Программы. Акты выполненных работ (оказанных услуг) составляются в трех экземплярах и утверждаются Комиссией.</w:t>
      </w:r>
    </w:p>
    <w:bookmarkEnd w:id="37"/>
    <w:bookmarkStart w:name="z15" w:id="38"/>
    <w:p>
      <w:pPr>
        <w:spacing w:after="0"/>
        <w:ind w:left="0"/>
        <w:jc w:val="left"/>
      </w:pPr>
      <w:r>
        <w:rPr>
          <w:rFonts w:ascii="Times New Roman"/>
          <w:b/>
          <w:i w:val="false"/>
          <w:color w:val="000000"/>
        </w:rPr>
        <w:t xml:space="preserve"> 6. Заключительные положения</w:t>
      </w:r>
    </w:p>
    <w:bookmarkEnd w:id="38"/>
    <w:bookmarkStart w:name="z48" w:id="39"/>
    <w:p>
      <w:pPr>
        <w:spacing w:after="0"/>
        <w:ind w:left="0"/>
        <w:jc w:val="both"/>
      </w:pPr>
      <w:r>
        <w:rPr>
          <w:rFonts w:ascii="Times New Roman"/>
          <w:b w:val="false"/>
          <w:i w:val="false"/>
          <w:color w:val="000000"/>
          <w:sz w:val="28"/>
        </w:rPr>
        <w:t>
      30. Любые изменения и дополнения в настоящие Правила вносятся в соответствии с действующим законодательством Республики Казахстан.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 xml:space="preserve">в области агропромышленного </w:t>
            </w:r>
            <w:r>
              <w:br/>
            </w:r>
            <w:r>
              <w:rPr>
                <w:rFonts w:ascii="Times New Roman"/>
                <w:b w:val="false"/>
                <w:i w:val="false"/>
                <w:color w:val="000000"/>
                <w:sz w:val="20"/>
              </w:rPr>
              <w:t>комплекса Актюбинской области</w:t>
            </w:r>
          </w:p>
        </w:tc>
      </w:tr>
    </w:tbl>
    <w:p>
      <w:pPr>
        <w:spacing w:after="0"/>
        <w:ind w:left="0"/>
        <w:jc w:val="left"/>
      </w:pPr>
      <w:r>
        <w:rPr>
          <w:rFonts w:ascii="Times New Roman"/>
          <w:b/>
          <w:i w:val="false"/>
          <w:color w:val="000000"/>
        </w:rPr>
        <w:t xml:space="preserve"> Форма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9520"/>
        <w:gridCol w:w="299"/>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и дата (</w:t>
            </w:r>
            <w:r>
              <w:rPr>
                <w:rFonts w:ascii="Times New Roman"/>
                <w:b w:val="false"/>
                <w:i/>
                <w:color w:val="000000"/>
                <w:sz w:val="20"/>
              </w:rPr>
              <w:t>заполняется сотрудниками</w:t>
            </w:r>
            <w:r>
              <w:rPr>
                <w:rFonts w:ascii="Times New Roman"/>
                <w:b w:val="false"/>
                <w:i w:val="false"/>
                <w:color w:val="000000"/>
                <w:sz w:val="20"/>
              </w:rPr>
              <w:t xml:space="preserve"> администратора Программы)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мероприятия Программы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(подотрасль) внедрения и распространения инновационного опыта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мероприятия Программы (</w:t>
            </w:r>
            <w:r>
              <w:rPr>
                <w:rFonts w:ascii="Times New Roman"/>
                <w:b w:val="false"/>
                <w:i/>
                <w:color w:val="000000"/>
                <w:sz w:val="20"/>
              </w:rPr>
              <w:t>отразить основные</w:t>
            </w:r>
            <w:r>
              <w:rPr>
                <w:rFonts w:ascii="Times New Roman"/>
                <w:b w:val="false"/>
                <w:i w:val="false"/>
                <w:color w:val="000000"/>
                <w:sz w:val="20"/>
              </w:rPr>
              <w:t xml:space="preserve"> цели и суть проекта, конкретное применение результатов проекта, опыт участия в реализации аналогичных проектов)</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проекта (в месяцах)</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завершения проекта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запрашиваемых средств (в тенге)</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 факс, адрес электронной почты заявителя (ей)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адрес, телефон, электронная почта контактного лица заявителей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мероприятия Программы (сотрудник НИО) (указываются имя, фамилия и должность, телефон, факс, электронная почта)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 факс, адрес электронной почты субъектов АПК, участвующих в реализации мероприятия Программы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 xml:space="preserve">в области агропромышленного </w:t>
            </w:r>
            <w:r>
              <w:br/>
            </w:r>
            <w:r>
              <w:rPr>
                <w:rFonts w:ascii="Times New Roman"/>
                <w:b w:val="false"/>
                <w:i w:val="false"/>
                <w:color w:val="000000"/>
                <w:sz w:val="20"/>
              </w:rPr>
              <w:t>комплекса Актюбинской области</w:t>
            </w:r>
          </w:p>
        </w:tc>
      </w:tr>
    </w:tbl>
    <w:p>
      <w:pPr>
        <w:spacing w:after="0"/>
        <w:ind w:left="0"/>
        <w:jc w:val="left"/>
      </w:pPr>
      <w:r>
        <w:rPr>
          <w:rFonts w:ascii="Times New Roman"/>
          <w:b/>
          <w:i w:val="false"/>
          <w:color w:val="000000"/>
        </w:rPr>
        <w:t xml:space="preserve"> Пояснительная записка к мероприятию Программы</w:t>
      </w:r>
    </w:p>
    <w:p>
      <w:pPr>
        <w:spacing w:after="0"/>
        <w:ind w:left="0"/>
        <w:jc w:val="both"/>
      </w:pPr>
      <w:r>
        <w:rPr>
          <w:rFonts w:ascii="Times New Roman"/>
          <w:b w:val="false"/>
          <w:i w:val="false"/>
          <w:color w:val="000000"/>
          <w:sz w:val="28"/>
        </w:rPr>
        <w:t>
      1. Название мероприятия Программы</w:t>
      </w:r>
    </w:p>
    <w:p>
      <w:pPr>
        <w:spacing w:after="0"/>
        <w:ind w:left="0"/>
        <w:jc w:val="both"/>
      </w:pPr>
      <w:r>
        <w:rPr>
          <w:rFonts w:ascii="Times New Roman"/>
          <w:b w:val="false"/>
          <w:i w:val="false"/>
          <w:color w:val="000000"/>
          <w:sz w:val="28"/>
        </w:rPr>
        <w:t>
      2. Место реализации мероприятия Программы: район, населенный пункт</w:t>
      </w:r>
    </w:p>
    <w:p>
      <w:pPr>
        <w:spacing w:after="0"/>
        <w:ind w:left="0"/>
        <w:jc w:val="both"/>
      </w:pPr>
      <w:r>
        <w:rPr>
          <w:rFonts w:ascii="Times New Roman"/>
          <w:b w:val="false"/>
          <w:i w:val="false"/>
          <w:color w:val="000000"/>
          <w:sz w:val="28"/>
        </w:rPr>
        <w:t>
      3. Цель и задачи мероприятия Программы (не более 1 страницы)</w:t>
      </w:r>
    </w:p>
    <w:p>
      <w:pPr>
        <w:spacing w:after="0"/>
        <w:ind w:left="0"/>
        <w:jc w:val="both"/>
      </w:pPr>
      <w:r>
        <w:rPr>
          <w:rFonts w:ascii="Times New Roman"/>
          <w:b w:val="false"/>
          <w:i w:val="false"/>
          <w:color w:val="000000"/>
          <w:sz w:val="28"/>
        </w:rPr>
        <w:t>
      4. Краткое описание основного заявителя (научно-исследовательской организации) и субъектов АПК, участвующих в мероприятии Программы (не более 0,5 страницы):</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описание деятельности основного заявителя и участвующих в мероприятии Программы субъектов АПК;</w:t>
      </w:r>
    </w:p>
    <w:p>
      <w:pPr>
        <w:spacing w:after="0"/>
        <w:ind w:left="0"/>
        <w:jc w:val="both"/>
      </w:pP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p>
    <w:p>
      <w:pPr>
        <w:spacing w:after="0"/>
        <w:ind w:left="0"/>
        <w:jc w:val="both"/>
      </w:pPr>
      <w:r>
        <w:rPr>
          <w:rFonts w:ascii="Times New Roman"/>
          <w:b w:val="false"/>
          <w:i w:val="false"/>
          <w:color w:val="000000"/>
          <w:sz w:val="28"/>
        </w:rPr>
        <w:t>
      информация о реализации других проектов в рамках данной программы.</w:t>
      </w:r>
    </w:p>
    <w:p>
      <w:pPr>
        <w:spacing w:after="0"/>
        <w:ind w:left="0"/>
        <w:jc w:val="both"/>
      </w:pPr>
      <w:r>
        <w:rPr>
          <w:rFonts w:ascii="Times New Roman"/>
          <w:b w:val="false"/>
          <w:i w:val="false"/>
          <w:color w:val="000000"/>
          <w:sz w:val="28"/>
        </w:rPr>
        <w:t>
      5. Обоснование мероприятия Программы: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региона и производительности труда (не более 0,5 страницы).</w:t>
      </w:r>
    </w:p>
    <w:p>
      <w:pPr>
        <w:spacing w:after="0"/>
        <w:ind w:left="0"/>
        <w:jc w:val="both"/>
      </w:pPr>
      <w:r>
        <w:rPr>
          <w:rFonts w:ascii="Times New Roman"/>
          <w:b w:val="false"/>
          <w:i w:val="false"/>
          <w:color w:val="000000"/>
          <w:sz w:val="28"/>
        </w:rPr>
        <w:t>
      6. Описание основных работ, выполняемых в рамках реализации мероприятия Программы: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т.ч. методологию НИО по внедрению и распространению научной разработки (технологии) на базе субъекта АПК, участвующего в реализации мероприятия Программы (не более 2,5 страниц).</w:t>
      </w:r>
    </w:p>
    <w:p>
      <w:pPr>
        <w:spacing w:after="0"/>
        <w:ind w:left="0"/>
        <w:jc w:val="both"/>
      </w:pPr>
      <w:r>
        <w:rPr>
          <w:rFonts w:ascii="Times New Roman"/>
          <w:b w:val="false"/>
          <w:i w:val="false"/>
          <w:color w:val="000000"/>
          <w:sz w:val="28"/>
        </w:rPr>
        <w:t>
      7. Результативность: количественные и качественные показатели результатов от реализации мероприятия Программы. Должны включать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w:t>
      </w:r>
    </w:p>
    <w:p>
      <w:pPr>
        <w:spacing w:after="0"/>
        <w:ind w:left="0"/>
        <w:jc w:val="both"/>
      </w:pPr>
      <w:r>
        <w:rPr>
          <w:rFonts w:ascii="Times New Roman"/>
          <w:b w:val="false"/>
          <w:i w:val="false"/>
          <w:color w:val="000000"/>
          <w:sz w:val="28"/>
        </w:rPr>
        <w:t>
      Необходимо отразить экономические выгоды от реализации мероприятия Программы в сравнении с ранее используемыми технологиями, обосновать целесообразность мероприятия с точки зрения развития АПК региона, ситуации на аграрном рынке (не более 1,5 страниц).</w:t>
      </w:r>
    </w:p>
    <w:p>
      <w:pPr>
        <w:spacing w:after="0"/>
        <w:ind w:left="0"/>
        <w:jc w:val="both"/>
      </w:pPr>
      <w:r>
        <w:rPr>
          <w:rFonts w:ascii="Times New Roman"/>
          <w:b w:val="false"/>
          <w:i w:val="false"/>
          <w:color w:val="000000"/>
          <w:sz w:val="28"/>
        </w:rPr>
        <w:t>
      8. Экологическая оценка должна содержать оценку влияния реализации мероприятия Программы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p>
    <w:p>
      <w:pPr>
        <w:spacing w:after="0"/>
        <w:ind w:left="0"/>
        <w:jc w:val="both"/>
      </w:pPr>
      <w:r>
        <w:rPr>
          <w:rFonts w:ascii="Times New Roman"/>
          <w:b w:val="false"/>
          <w:i w:val="false"/>
          <w:color w:val="000000"/>
          <w:sz w:val="28"/>
        </w:rPr>
        <w:t>
      9. Риски: основные риски для успешного завершения мероприятия Программы и меры по преодолению таких рисков (не более 0,5 страницы).</w:t>
      </w:r>
    </w:p>
    <w:p>
      <w:pPr>
        <w:spacing w:after="0"/>
        <w:ind w:left="0"/>
        <w:jc w:val="both"/>
      </w:pPr>
      <w:r>
        <w:rPr>
          <w:rFonts w:ascii="Times New Roman"/>
          <w:b w:val="false"/>
          <w:i w:val="false"/>
          <w:color w:val="000000"/>
          <w:sz w:val="28"/>
        </w:rPr>
        <w:t>
      10. Жизнеспособность проекта: необходимо описать меры, которые будут предприняты для обеспечения устойчивости производства субъектов АПК, участвующих в реализации мероприятия Программы, после завершения финансирования в рамках Программы (не более 0,5 страницы).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 xml:space="preserve">в области агропромышленного </w:t>
            </w:r>
            <w:r>
              <w:br/>
            </w:r>
            <w:r>
              <w:rPr>
                <w:rFonts w:ascii="Times New Roman"/>
                <w:b w:val="false"/>
                <w:i w:val="false"/>
                <w:color w:val="000000"/>
                <w:sz w:val="20"/>
              </w:rPr>
              <w:t>комплекса Актюбинской области</w:t>
            </w:r>
          </w:p>
        </w:tc>
      </w:tr>
    </w:tbl>
    <w:p>
      <w:pPr>
        <w:spacing w:after="0"/>
        <w:ind w:left="0"/>
        <w:jc w:val="left"/>
      </w:pPr>
      <w:r>
        <w:rPr>
          <w:rFonts w:ascii="Times New Roman"/>
          <w:b/>
          <w:i w:val="false"/>
          <w:color w:val="000000"/>
        </w:rPr>
        <w:t xml:space="preserve"> План реализации мероприятия Программы (указать название)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 xml:space="preserve">в области агропромышленного </w:t>
            </w:r>
            <w:r>
              <w:br/>
            </w:r>
            <w:r>
              <w:rPr>
                <w:rFonts w:ascii="Times New Roman"/>
                <w:b w:val="false"/>
                <w:i w:val="false"/>
                <w:color w:val="000000"/>
                <w:sz w:val="20"/>
              </w:rPr>
              <w:t>комплекса Актюбинской области</w:t>
            </w:r>
          </w:p>
        </w:tc>
      </w:tr>
    </w:tbl>
    <w:p>
      <w:pPr>
        <w:spacing w:after="0"/>
        <w:ind w:left="0"/>
        <w:jc w:val="left"/>
      </w:pPr>
      <w:r>
        <w:rPr>
          <w:rFonts w:ascii="Times New Roman"/>
          <w:b/>
          <w:i w:val="false"/>
          <w:color w:val="000000"/>
        </w:rPr>
        <w:t xml:space="preserve"> Бюджет и смета расходов реализации мероприятия Программы</w:t>
      </w:r>
      <w:r>
        <w:br/>
      </w:r>
      <w:r>
        <w:rPr>
          <w:rFonts w:ascii="Times New Roman"/>
          <w:b/>
          <w:i w:val="false"/>
          <w:color w:val="000000"/>
        </w:rPr>
        <w:t>(указать название)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3239"/>
        <w:gridCol w:w="167"/>
        <w:gridCol w:w="167"/>
        <w:gridCol w:w="344"/>
        <w:gridCol w:w="531"/>
        <w:gridCol w:w="531"/>
        <w:gridCol w:w="532"/>
        <w:gridCol w:w="532"/>
        <w:gridCol w:w="532"/>
        <w:gridCol w:w="532"/>
        <w:gridCol w:w="532"/>
        <w:gridCol w:w="532"/>
        <w:gridCol w:w="532"/>
        <w:gridCol w:w="825"/>
        <w:gridCol w:w="826"/>
        <w:gridCol w:w="826"/>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или вознаграждение не более 35% от должностного оклада по месту основной работы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/указать/</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прямых расходов</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(не более 10% от прямых расходов)</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Указывается отдельно на каждый год реализации мероприятия Программы</w:t>
      </w:r>
    </w:p>
    <w:p>
      <w:pPr>
        <w:spacing w:after="0"/>
        <w:ind w:left="0"/>
        <w:jc w:val="both"/>
      </w:pPr>
      <w:r>
        <w:rPr>
          <w:rFonts w:ascii="Times New Roman"/>
          <w:b w:val="false"/>
          <w:i w:val="false"/>
          <w:color w:val="000000"/>
          <w:sz w:val="28"/>
        </w:rPr>
        <w:t>
      2. Указать отдельно расходы, финансируемые из бюджетных средств /по услугам НИО/</w:t>
      </w:r>
    </w:p>
    <w:p>
      <w:pPr>
        <w:spacing w:after="0"/>
        <w:ind w:left="0"/>
        <w:jc w:val="both"/>
      </w:pPr>
      <w:r>
        <w:rPr>
          <w:rFonts w:ascii="Times New Roman"/>
          <w:b w:val="false"/>
          <w:i w:val="false"/>
          <w:color w:val="000000"/>
          <w:sz w:val="28"/>
        </w:rPr>
        <w:t>
      3. Расчеты по обоснованию статей расходов сметы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