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e978" w14:textId="aa8e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июня 2012 года № 209. Зарегистрировано Департаментом юстиции Актюбинской области 22 июня 2012 года № 3401. Утратило силу в связи с истечением срока применения - (письмо аппарата акима Актюбинской области от 9 января 2014 года № 14-5/53).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Актюбинской области от 09.01.2014 № 14-5/53).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№ 148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 319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"Об утверждении программы по обеспечению детей дошкольным воспитанием и обучением "Балапан" на 2010-2014 годы"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2012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Актобе обеспечить принятие соответствующих мер,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размещаемых в детских дошкольных организациях за счет государственного образовательного заказа (чел.)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(в 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(ясли-детские сады, центры)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 полным пребыванием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пребыванием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коэффицента за проживание в зонах экологического бедствия 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коэффицента за проживание в зонах экологического бедствия 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1 воспитанника в день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за содержание ребенка в дошкольной организации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(ясли-детские сады, центры)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с полным днем пребывания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 длительностью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 час.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час.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родительская плата на одного ребенка в день не более 420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