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7caa" w14:textId="45a7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Бурабайского районного маслихата от 21 октября 2011 года № С-38/3 "Об утверждении Правил предоставления жилищной помощи малообеспеченным семьям (гражданам) по Бурабайскому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Бурабайского районного маслихата Акмолинской области от 18 апреля 2012 года № 5С-4/2. Зарегистрировано Управлением юстиции Бурабайского района Акмолинской области 11 мая 2012 года № 1-19-231. Утратило силу - решением Бурабайского районного маслихата Акмолинской области от 20 декабря 2012 года № 5С-12/4</w:t>
      </w:r>
    </w:p>
    <w:p>
      <w:pPr>
        <w:spacing w:after="0"/>
        <w:ind w:left="0"/>
        <w:jc w:val="both"/>
      </w:pPr>
      <w:r>
        <w:rPr>
          <w:rFonts w:ascii="Times New Roman"/>
          <w:b w:val="false"/>
          <w:i w:val="false"/>
          <w:color w:val="ff0000"/>
          <w:sz w:val="28"/>
        </w:rPr>
        <w:t xml:space="preserve">      Сноска. Утратило силу - решением Бурабайского районного маслихата Акмолинской области от 20.12.2012 </w:t>
      </w:r>
      <w:r>
        <w:rPr>
          <w:rFonts w:ascii="Times New Roman"/>
          <w:b w:val="false"/>
          <w:i w:val="false"/>
          <w:color w:val="ff0000"/>
          <w:sz w:val="28"/>
        </w:rPr>
        <w:t>№ 5С-12/4</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Бурабайский районный маслихат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Бурабайского районного маслихата «Об утверждении Правил предоставления жилищной помощи малообеспеченным семьям (гражданам) по Бурабайскому району» от 21 октября 2011 года № С-38/3 (зарегистрировано в Реестре государственной регистрации нормативных правовых актов № 1-19-212, опубликовано 8 декабря 2011 года в районных газетах «Бурабай» и «Луч»)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главы 1 изложить в следующей редакции:</w:t>
      </w:r>
      <w:r>
        <w:br/>
      </w:r>
      <w:r>
        <w:rPr>
          <w:rFonts w:ascii="Times New Roman"/>
          <w:b w:val="false"/>
          <w:i w:val="false"/>
          <w:color w:val="000000"/>
          <w:sz w:val="28"/>
        </w:rPr>
        <w:t>
      «3.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 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10 главы 2 изложить в следующей редакции:</w:t>
      </w:r>
      <w:r>
        <w:br/>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10 главы 2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пункта 10 главы 2 изложить в следующей редакции:</w:t>
      </w:r>
      <w:r>
        <w:br/>
      </w:r>
      <w:r>
        <w:rPr>
          <w:rFonts w:ascii="Times New Roman"/>
          <w:b w:val="false"/>
          <w:i w:val="false"/>
          <w:color w:val="000000"/>
          <w:sz w:val="28"/>
        </w:rPr>
        <w:t>
      «6) счет на потребление коммунальных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главы 2 изложить в следующей редакции:</w:t>
      </w:r>
      <w:r>
        <w:br/>
      </w:r>
      <w:r>
        <w:rPr>
          <w:rFonts w:ascii="Times New Roman"/>
          <w:b w:val="false"/>
          <w:i w:val="false"/>
          <w:color w:val="000000"/>
          <w:sz w:val="28"/>
        </w:rPr>
        <w:t>
      «11. Семьи (граждане) имеющие право на компенсацию затрат на содержание жилого дома (жилого здания), кроме документов, предусмотренных пунктом 10, предоставляют:</w:t>
      </w:r>
      <w:r>
        <w:br/>
      </w:r>
      <w:r>
        <w:rPr>
          <w:rFonts w:ascii="Times New Roman"/>
          <w:b w:val="false"/>
          <w:i w:val="false"/>
          <w:color w:val="000000"/>
          <w:sz w:val="28"/>
        </w:rPr>
        <w:t>
      1)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17 главы 2 изложить в следующей редакции:</w:t>
      </w:r>
      <w:r>
        <w:br/>
      </w:r>
      <w:r>
        <w:rPr>
          <w:rFonts w:ascii="Times New Roman"/>
          <w:b w:val="false"/>
          <w:i w:val="false"/>
          <w:color w:val="000000"/>
          <w:sz w:val="28"/>
        </w:rPr>
        <w:t>
      «1)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не превышает предельно допустимый уровень расходов семьи на эти цели 11 %;»;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w:t>
      </w:r>
      <w:r>
        <w:rPr>
          <w:rFonts w:ascii="Times New Roman"/>
          <w:b w:val="false"/>
          <w:i w:val="false"/>
          <w:color w:val="000000"/>
          <w:sz w:val="28"/>
        </w:rPr>
        <w:t xml:space="preserve"> главы 3 изложить в следующей редакции:</w:t>
      </w:r>
      <w:r>
        <w:br/>
      </w:r>
      <w:r>
        <w:rPr>
          <w:rFonts w:ascii="Times New Roman"/>
          <w:b w:val="false"/>
          <w:i w:val="false"/>
          <w:color w:val="000000"/>
          <w:sz w:val="28"/>
        </w:rPr>
        <w:t>
      «22.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Бурабайского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IV (внеочередной) сессии</w:t>
      </w:r>
      <w:r>
        <w:br/>
      </w:r>
      <w:r>
        <w:rPr>
          <w:rFonts w:ascii="Times New Roman"/>
          <w:b w:val="false"/>
          <w:i w:val="false"/>
          <w:color w:val="000000"/>
          <w:sz w:val="28"/>
        </w:rPr>
        <w:t>
</w:t>
      </w:r>
      <w:r>
        <w:rPr>
          <w:rFonts w:ascii="Times New Roman"/>
          <w:b w:val="false"/>
          <w:i/>
          <w:color w:val="000000"/>
          <w:sz w:val="28"/>
        </w:rPr>
        <w:t>      районного маслихата                        Г.Бичун</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У.Бейсенов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Бурабайского района                   В.Балахонцев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