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b793" w14:textId="c91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населенных пунктах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марта 2012 года № 13/2-5. Зарегистрировано Управлением юстиции Целиноградского района Акмолинской области 24 апреля 2012 года № 1-17-172. Утратило силу - решением Целиноградского районного маслихата Акмолинской области от 3 августа 2012 года № 54/7-5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Целиноградского районного маслихата Акмолинской области от 03.08.2012 № 54/7-5.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2011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контроля»                                Л.Садвакасов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О. Шакабаев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13/2-5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выгула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Целиноградского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в населенных пунктах Целиноградского района (далее – Правила) разработаны с целью регламентации содержания и выгула на территории Целиноградского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содержания собак и кошек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частных домов содержат собак в границах личного подворья, исключающих их побег. Имеют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 и кошки проходят процедуру идентификации путем присвоения номера и получения ветеринарного паспорта.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содержания собак и кошек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аульного (сельского)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выгула собак и кошек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Выгуливая собак и кошек,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 В огороженных местах, а также на пустырях, при отсутствии людей разрешается отпускать собак с поводка,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настоящих Правил ответственность определяется административным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