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f5f3" w14:textId="5edf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Енбекшильдерском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12 декабря 2012 года № А-11/377. Зарегистрировано Департаментом юстиции Акмолинской области 24 декабря 2012 года № 3553.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Енбекшильдерском районе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 Енбекшильдерского района, виды, объемы, спрос и предложения, конкретные условия общественных работ, размер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Ахметову О.Т.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А.Садуақасұлы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А-11/377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Енбекшильдерского района,</w:t>
      </w:r>
      <w:r>
        <w:br/>
      </w:r>
      <w:r>
        <w:rPr>
          <w:rFonts w:ascii="Times New Roman"/>
          <w:b/>
          <w:i w:val="false"/>
          <w:color w:val="000000"/>
        </w:rPr>
        <w:t>
виды, объемы, спрос и предложения,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3329"/>
        <w:gridCol w:w="3437"/>
        <w:gridCol w:w="2511"/>
        <w:gridCol w:w="1370"/>
        <w:gridCol w:w="1737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</w:tr>
      <w:tr>
        <w:trPr>
          <w:trHeight w:val="6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Степняк»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0"/>
        <w:gridCol w:w="3641"/>
        <w:gridCol w:w="3249"/>
      </w:tblGrid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6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6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1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3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6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6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8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4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9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4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6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1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2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4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6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6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0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8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8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