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5d39" w14:textId="d845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Аккольского  районного маслихата от 26  сентября 2011 года № С 43 - 3 "Об утверждении Правил предоставления жилищной помощи малообеспеченным семьям (гражданам) проживающим в Аккольском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Аккольского районного маслихата Акмолинской области от 12 ноября 2012 года № С 10-2. Зарегистрировано Департаментом юстиции Акмолинской области 5 декабря 2012 года № 3516. Утратило силу решением Аккольского районного маслихата Акмолинской области от 1 июля 2015 года № С 48-9</w:t>
      </w:r>
    </w:p>
    <w:p>
      <w:pPr>
        <w:spacing w:after="0"/>
        <w:ind w:left="0"/>
        <w:jc w:val="both"/>
      </w:pPr>
      <w:r>
        <w:rPr>
          <w:rFonts w:ascii="Times New Roman"/>
          <w:b w:val="false"/>
          <w:i w:val="false"/>
          <w:color w:val="ff0000"/>
          <w:sz w:val="28"/>
        </w:rPr>
        <w:t xml:space="preserve">      Сноска. Утратило силу решением Аккольского районного маслихата Акмолинской области от 01.07.2015 </w:t>
      </w:r>
      <w:r>
        <w:rPr>
          <w:rFonts w:ascii="Times New Roman"/>
          <w:b w:val="false"/>
          <w:i w:val="false"/>
          <w:color w:val="ff0000"/>
          <w:sz w:val="28"/>
        </w:rPr>
        <w:t>№ С 48-9</w:t>
      </w:r>
      <w:r>
        <w:rPr>
          <w:rFonts w:ascii="Times New Roman"/>
          <w:b w:val="false"/>
          <w:i w:val="false"/>
          <w:color w:val="ff0000"/>
          <w:sz w:val="28"/>
        </w:rPr>
        <w:t xml:space="preserve"> (вступает в силу и вводится в действие со дня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 жилищных отношениях» от 16 апреля 1997 года, Аккольский районный маслихат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Аккольского районного маслихата от 26 сентября 2011 года № С 43 – 3 «Об утверждении Правил предоставления жилищной помощи малообеспеченным семьям (гражданам) проживающим в Аккольском районе» (зарегистрировано в Реестре государственной регистрации нормативных правовых актов № 1-3-163, опубликовано 4 ноября 2011 года в районных газетах «Ақкөл өмірі» и «Знамя Родины KZ»)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жилищной помощи малообеспеченным семьям (гражданам) проживающим в Аккольском районе: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на территории Аккольского района на оплату:</w:t>
      </w:r>
      <w:r>
        <w:br/>
      </w:r>
      <w:r>
        <w:rPr>
          <w:rFonts w:ascii="Times New Roman"/>
          <w:b w:val="false"/>
          <w:i w:val="false"/>
          <w:color w:val="000000"/>
          <w:sz w:val="28"/>
        </w:rPr>
        <w:t>
</w:t>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«2.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семьям (гражданам), проживающим в приватизированных жилых помещениях (квартирах), индивидуальном жилом доме, в пределах норм и предельно допустимого уровня расходов семьи на эти цели.</w:t>
      </w:r>
      <w:r>
        <w:br/>
      </w:r>
      <w:r>
        <w:rPr>
          <w:rFonts w:ascii="Times New Roman"/>
          <w:b w:val="false"/>
          <w:i w:val="false"/>
          <w:color w:val="000000"/>
          <w:sz w:val="28"/>
        </w:rPr>
        <w:t>
</w:t>
      </w:r>
      <w:r>
        <w:rPr>
          <w:rFonts w:ascii="Times New Roman"/>
          <w:b w:val="false"/>
          <w:i w:val="false"/>
          <w:color w:val="000000"/>
          <w:sz w:val="28"/>
        </w:rPr>
        <w:t>
      Доля предельно допустимого уровня расходов семьи в месяц на расходы на содержание жилого дома (жилого здания), потребление коммунальных услуг и услуг связи в части увеличения абоненентской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устанавливаются к совокупному доходу семьи в размере 15 процентов.</w:t>
      </w:r>
      <w:r>
        <w:br/>
      </w:r>
      <w:r>
        <w:rPr>
          <w:rFonts w:ascii="Times New Roman"/>
          <w:b w:val="false"/>
          <w:i w:val="false"/>
          <w:color w:val="000000"/>
          <w:sz w:val="28"/>
        </w:rPr>
        <w:t>
</w:t>
      </w:r>
      <w:r>
        <w:rPr>
          <w:rFonts w:ascii="Times New Roman"/>
          <w:b w:val="false"/>
          <w:i w:val="false"/>
          <w:color w:val="000000"/>
          <w:sz w:val="28"/>
        </w:rPr>
        <w:t>
      Оплата содержания жилища и потребления коммунальных услуг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«3. Площадь жилья, обеспечиваемая компенсационными мерами принимается в размере 18 квадратных метров на человека, для одиноко проживающих граждан не более 30 квадратных метров.</w:t>
      </w:r>
      <w:r>
        <w:br/>
      </w:r>
      <w:r>
        <w:rPr>
          <w:rFonts w:ascii="Times New Roman"/>
          <w:b w:val="false"/>
          <w:i w:val="false"/>
          <w:color w:val="000000"/>
          <w:sz w:val="28"/>
        </w:rPr>
        <w:t>
</w:t>
      </w:r>
      <w:r>
        <w:rPr>
          <w:rFonts w:ascii="Times New Roman"/>
          <w:b w:val="false"/>
          <w:i w:val="false"/>
          <w:color w:val="000000"/>
          <w:sz w:val="28"/>
        </w:rPr>
        <w:t>
      Компенсационные нормы возмещения коммунальных услуг устанавливаются исходя из фактического потребления, но не более предельных величин: газоснабжения в размере 4 килограммов на человека, но не более 16 килограммов или 2 баллонов на семью в месяц, водоснабжения и канализации не более 2,5 кубических метров в месяц на человека, полив приусадебного участка не более 3 кубических метров на сотку в месяц, электроснабжения по показаниям счетчика, но не более 100 киловатт на человека и 200 киловатт на семью в месяц.</w:t>
      </w:r>
      <w:r>
        <w:br/>
      </w:r>
      <w:r>
        <w:rPr>
          <w:rFonts w:ascii="Times New Roman"/>
          <w:b w:val="false"/>
          <w:i w:val="false"/>
          <w:color w:val="000000"/>
          <w:sz w:val="28"/>
        </w:rPr>
        <w:t>
</w:t>
      </w:r>
      <w:r>
        <w:rPr>
          <w:rFonts w:ascii="Times New Roman"/>
          <w:b w:val="false"/>
          <w:i w:val="false"/>
          <w:color w:val="000000"/>
          <w:sz w:val="28"/>
        </w:rPr>
        <w:t>
      Компенсационные нормы на потребление твердого топлива для жилища с местным отоплением установить в размере 83 килограмма на 1 квадратный метр полезной площади (на отопительный сезон с октября по апрель месяцы), но не более 5 тонн на семью. Стоимость угля принимать усредненную по данным статистики, сложившуюся за предыдущий квартал.</w:t>
      </w:r>
      <w:r>
        <w:br/>
      </w:r>
      <w:r>
        <w:rPr>
          <w:rFonts w:ascii="Times New Roman"/>
          <w:b w:val="false"/>
          <w:i w:val="false"/>
          <w:color w:val="000000"/>
          <w:sz w:val="28"/>
        </w:rPr>
        <w:t>
</w:t>
      </w:r>
      <w:r>
        <w:rPr>
          <w:rFonts w:ascii="Times New Roman"/>
          <w:b w:val="false"/>
          <w:i w:val="false"/>
          <w:color w:val="000000"/>
          <w:sz w:val="28"/>
        </w:rPr>
        <w:t>
      В связи с сезонностью закупки угля, расходы на твердое топливо в пределах компенсационных норм, при начислении жилищной помощи учитывать раз в год за три месяца в квартал обращения в период отопительного сезона.</w:t>
      </w:r>
      <w:r>
        <w:br/>
      </w:r>
      <w:r>
        <w:rPr>
          <w:rFonts w:ascii="Times New Roman"/>
          <w:b w:val="false"/>
          <w:i w:val="false"/>
          <w:color w:val="000000"/>
          <w:sz w:val="28"/>
        </w:rPr>
        <w:t>
</w:t>
      </w:r>
      <w:r>
        <w:rPr>
          <w:rFonts w:ascii="Times New Roman"/>
          <w:b w:val="false"/>
          <w:i w:val="false"/>
          <w:color w:val="000000"/>
          <w:sz w:val="28"/>
        </w:rPr>
        <w:t>
      Норму расхода и стоимость другого вида топлива, используемого для местного отопления при расчете жилищной помощи, считать эквивалентной норме расхода и стоимости угля.»;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«6. Заявление об оказании жилищной помощи подается собственником, нанимателем (поднанимателем) жилья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w:t>
      </w:r>
      <w:r>
        <w:rPr>
          <w:rFonts w:ascii="Times New Roman"/>
          <w:b w:val="false"/>
          <w:i w:val="false"/>
          <w:color w:val="000000"/>
          <w:sz w:val="28"/>
        </w:rPr>
        <w:t>
      3) документа, подтверждающего регистрацию по постоянному месту жительства (адресная справка, либо справка акима аульного (сельского) округа), либо копии книги регистрации граджан;</w:t>
      </w:r>
      <w:r>
        <w:br/>
      </w:r>
      <w:r>
        <w:rPr>
          <w:rFonts w:ascii="Times New Roman"/>
          <w:b w:val="false"/>
          <w:i w:val="false"/>
          <w:color w:val="000000"/>
          <w:sz w:val="28"/>
        </w:rPr>
        <w:t>
</w:t>
      </w:r>
      <w:r>
        <w:rPr>
          <w:rFonts w:ascii="Times New Roman"/>
          <w:b w:val="false"/>
          <w:i w:val="false"/>
          <w:color w:val="000000"/>
          <w:sz w:val="28"/>
        </w:rPr>
        <w:t>
      4) документов, подтверждающих доходы членов семьи за предыдущий квартал;</w:t>
      </w:r>
      <w:r>
        <w:br/>
      </w:r>
      <w:r>
        <w:rPr>
          <w:rFonts w:ascii="Times New Roman"/>
          <w:b w:val="false"/>
          <w:i w:val="false"/>
          <w:color w:val="000000"/>
          <w:sz w:val="28"/>
        </w:rPr>
        <w:t>
</w:t>
      </w:r>
      <w:r>
        <w:rPr>
          <w:rFonts w:ascii="Times New Roman"/>
          <w:b w:val="false"/>
          <w:i w:val="false"/>
          <w:color w:val="000000"/>
          <w:sz w:val="28"/>
        </w:rPr>
        <w:t>
      5) квитанции-счета за услуги телекоммуникаций или копии договора на оказание услуг связи (абоненту городской сети телекоммуникаций);</w:t>
      </w:r>
      <w:r>
        <w:br/>
      </w:r>
      <w:r>
        <w:rPr>
          <w:rFonts w:ascii="Times New Roman"/>
          <w:b w:val="false"/>
          <w:i w:val="false"/>
          <w:color w:val="000000"/>
          <w:sz w:val="28"/>
        </w:rPr>
        <w:t>
</w:t>
      </w:r>
      <w:r>
        <w:rPr>
          <w:rFonts w:ascii="Times New Roman"/>
          <w:b w:val="false"/>
          <w:i w:val="false"/>
          <w:color w:val="000000"/>
          <w:sz w:val="28"/>
        </w:rPr>
        <w:t>
      6) счетов (квитанций) об оплате за коммунальные услуги за предыдущий квартал, при центральном отоплении - копии договора на предоставление услуг по отоплению на текущий отопительный сезон;</w:t>
      </w:r>
      <w:r>
        <w:br/>
      </w:r>
      <w:r>
        <w:rPr>
          <w:rFonts w:ascii="Times New Roman"/>
          <w:b w:val="false"/>
          <w:i w:val="false"/>
          <w:color w:val="000000"/>
          <w:sz w:val="28"/>
        </w:rPr>
        <w:t>
</w:t>
      </w:r>
      <w:r>
        <w:rPr>
          <w:rFonts w:ascii="Times New Roman"/>
          <w:b w:val="false"/>
          <w:i w:val="false"/>
          <w:color w:val="000000"/>
          <w:sz w:val="28"/>
        </w:rPr>
        <w:t>
      7) счета о размере целевого взноса на капитальный ремонт общего имущества объекта кондоминиума (семьям, имеющим право на компенсацию за капитальный ремонт общего имущества кондоминиума);</w:t>
      </w:r>
      <w:r>
        <w:br/>
      </w:r>
      <w:r>
        <w:rPr>
          <w:rFonts w:ascii="Times New Roman"/>
          <w:b w:val="false"/>
          <w:i w:val="false"/>
          <w:color w:val="000000"/>
          <w:sz w:val="28"/>
        </w:rPr>
        <w:t>
</w:t>
      </w:r>
      <w:r>
        <w:rPr>
          <w:rFonts w:ascii="Times New Roman"/>
          <w:b w:val="false"/>
          <w:i w:val="false"/>
          <w:color w:val="000000"/>
          <w:sz w:val="28"/>
        </w:rPr>
        <w:t>
      8) счета о размере ежемесячных взносов на накопление средств на расходы по содержанию жилого дома (жилого здания),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заверенной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000000"/>
          <w:sz w:val="28"/>
        </w:rPr>
        <w:t>
      9) счета о размере арендной платы за пользование жилищем, предоставляемого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10) квитанции - счета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
      Документы предоставляются в копиях и подлинниках. Ответственное лицо в момент приема документов сверяет предоставленные копии с подлинниками документов и возвращает подлинники сразу же после проведения сверки.».</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 Аккольского</w:t>
      </w:r>
      <w:r>
        <w:br/>
      </w:r>
      <w:r>
        <w:rPr>
          <w:rFonts w:ascii="Times New Roman"/>
          <w:b w:val="false"/>
          <w:i w:val="false"/>
          <w:color w:val="000000"/>
          <w:sz w:val="28"/>
        </w:rPr>
        <w:t>
</w:t>
      </w:r>
      <w:r>
        <w:rPr>
          <w:rFonts w:ascii="Times New Roman"/>
          <w:b w:val="false"/>
          <w:i/>
          <w:color w:val="000000"/>
          <w:sz w:val="28"/>
        </w:rPr>
        <w:t>      районного маслихата                        Г.Нурова</w:t>
      </w:r>
    </w:p>
    <w:p>
      <w:pPr>
        <w:spacing w:after="0"/>
        <w:ind w:left="0"/>
        <w:jc w:val="both"/>
      </w:pPr>
      <w:r>
        <w:rPr>
          <w:rFonts w:ascii="Times New Roman"/>
          <w:b w:val="false"/>
          <w:i/>
          <w:color w:val="000000"/>
          <w:sz w:val="28"/>
        </w:rPr>
        <w:t>      Секретарь Аккольского</w:t>
      </w:r>
      <w:r>
        <w:br/>
      </w:r>
      <w:r>
        <w:rPr>
          <w:rFonts w:ascii="Times New Roman"/>
          <w:b w:val="false"/>
          <w:i w:val="false"/>
          <w:color w:val="000000"/>
          <w:sz w:val="28"/>
        </w:rPr>
        <w:t>
</w:t>
      </w:r>
      <w:r>
        <w:rPr>
          <w:rFonts w:ascii="Times New Roman"/>
          <w:b w:val="false"/>
          <w:i/>
          <w:color w:val="000000"/>
          <w:sz w:val="28"/>
        </w:rPr>
        <w:t>      районного маслихата                        Д.Салыбекова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Исполняющий обязанности</w:t>
      </w:r>
      <w:r>
        <w:br/>
      </w:r>
      <w:r>
        <w:rPr>
          <w:rFonts w:ascii="Times New Roman"/>
          <w:b w:val="false"/>
          <w:i w:val="false"/>
          <w:color w:val="000000"/>
          <w:sz w:val="28"/>
        </w:rPr>
        <w:t>
</w:t>
      </w:r>
      <w:r>
        <w:rPr>
          <w:rFonts w:ascii="Times New Roman"/>
          <w:b w:val="false"/>
          <w:i/>
          <w:color w:val="000000"/>
          <w:sz w:val="28"/>
        </w:rPr>
        <w:t>      акима Аккольского района                   А.К.Кривицкий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