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1bd0" w14:textId="0461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21 февраля 2008 года № А-2/54 "Об установлении водоохранных зон и полос озер Катарколь, Щучье, Малое Чебачье, Большое Чебачье, Боровое, Жукей, реки Нура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сентября 2012 года № А-10/424. Зарегистрировано Департаментом юстиции Акмолинской области 8 октября 2012 года № 3454.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озер Катарколь, Щучье, Малое Чебачье, Большое Чебачье, Боровое, Жукей, реки Нура и режима их хозяйственного использования" от 21 февраля 2008 года № А-2/54 (зарегистрировано в Реестре государственной регистрации нормативных правовых актов № 3241, опубликовано 4 марта 2008 года в газетах "Акмолинская правда" и "Арка ажары")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"2.Установить режим хозяйственного использования водоохранных зон и водоохранных полос озер Катарколь, Щучье, Малое Чебачье, Большое Чебачье, Боровое, Жукей, реки Нура в соответствии с нормами Водного кодекса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первого заместителя акима области Айтмухаметова К.К.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 по водным ресурсам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