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248b" w14:textId="ac32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города Астаны от 3 марта 2011 года № 432/58-IV "О Правилах застройки территории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25 сентября 2012 года № 69/9-V. Зарегистрировано Департаментом юстиции города Астаны 7 ноября 2012 года № 749. Утратило силу решением маслихата города Астаны от 9 ноября 2016 года № 69/11-VI</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города Астаны от 09.11.2016 </w:t>
      </w:r>
      <w:r>
        <w:rPr>
          <w:rFonts w:ascii="Times New Roman"/>
          <w:b w:val="false"/>
          <w:i w:val="false"/>
          <w:color w:val="ff0000"/>
          <w:sz w:val="28"/>
        </w:rPr>
        <w:t>№ 69/11-VI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Рассмотрев предложение акимата города Астаны, руководствуясь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22 Закона Республики Казахстан от 16 июля 2001 года «Об архитектурной, градостроительной и строительной деятельности в Республике Казахстан» и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маслихат города Астаны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Астаны от 3 марта 2011 года № 432/58-IV «О Правилах застройки территории города Астаны» (зарегистрировано в Реестре государственной регистрации нормативных правовых актов 15 апреля 2011 года за № 671, опубликовано в газетах «Вечерняя Астана» № 47 от 21 апреля 2011 года, «Астана ақшамы» № 45 от 21 апреля 2011 года)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застройки территории города Астаны,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«Настоящие Правила застройки территории города Астаны (далее - Правила) разработаны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Экологическим</w:t>
      </w:r>
      <w:r>
        <w:rPr>
          <w:rFonts w:ascii="Times New Roman"/>
          <w:b w:val="false"/>
          <w:i w:val="false"/>
          <w:color w:val="000000"/>
          <w:sz w:val="28"/>
        </w:rPr>
        <w:t xml:space="preserve"> кодексом Республики Казахстан, законами Республики Казахстан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статусе столицы Республики Казахстан</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Об индивидуальном жилищном строительстве</w:t>
      </w:r>
      <w:r>
        <w:rPr>
          <w:rFonts w:ascii="Times New Roman"/>
          <w:b w:val="false"/>
          <w:i w:val="false"/>
          <w:color w:val="000000"/>
          <w:sz w:val="28"/>
        </w:rPr>
        <w:t>», «</w:t>
      </w:r>
      <w:r>
        <w:rPr>
          <w:rFonts w:ascii="Times New Roman"/>
          <w:b w:val="false"/>
          <w:i w:val="false"/>
          <w:color w:val="000000"/>
          <w:sz w:val="28"/>
        </w:rPr>
        <w:t>О частном предпринимательстве</w:t>
      </w:r>
      <w:r>
        <w:rPr>
          <w:rFonts w:ascii="Times New Roman"/>
          <w:b w:val="false"/>
          <w:i w:val="false"/>
          <w:color w:val="000000"/>
          <w:sz w:val="28"/>
        </w:rPr>
        <w:t>», «</w:t>
      </w:r>
      <w:r>
        <w:rPr>
          <w:rFonts w:ascii="Times New Roman"/>
          <w:b w:val="false"/>
          <w:i w:val="false"/>
          <w:color w:val="000000"/>
          <w:sz w:val="28"/>
        </w:rPr>
        <w:t>О государственном контроле и надзоре в Республике Казахстан</w:t>
      </w:r>
      <w:r>
        <w:rPr>
          <w:rFonts w:ascii="Times New Roman"/>
          <w:b w:val="false"/>
          <w:i w:val="false"/>
          <w:color w:val="000000"/>
          <w:sz w:val="28"/>
        </w:rPr>
        <w:t>», иными нормативными правовыми актами и определяют условия и требования по использованию субъектами архитектурной, градостроительной и строительной деятельности земельных участков, проектированию и застройке территории города Астаны и пригородной зоны.</w:t>
      </w:r>
      <w:r>
        <w:br/>
      </w:r>
      <w:r>
        <w:rPr>
          <w:rFonts w:ascii="Times New Roman"/>
          <w:b w:val="false"/>
          <w:i w:val="false"/>
          <w:color w:val="000000"/>
          <w:sz w:val="28"/>
        </w:rPr>
        <w:t>
      Настоящие Правила являются нормативным правовым актом и устанавливают порядок прохождения разрешительных процедур на размещение и строительство новых или изменение (перепрофилирование, переоборудование, перепланировку, реконструкцию, расширение, капитальный ремонт) существующих объектов недвижимости и временных сооружений, регулируют отношения, связанные с осуществлением архитектурной, градостроительной и строительной деятельности на территории города Астаны.»;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дополнить понятиями следующего содержания:</w:t>
      </w:r>
      <w:r>
        <w:br/>
      </w:r>
      <w:r>
        <w:rPr>
          <w:rFonts w:ascii="Times New Roman"/>
          <w:b w:val="false"/>
          <w:i w:val="false"/>
          <w:color w:val="000000"/>
          <w:sz w:val="28"/>
        </w:rPr>
        <w:t>
      «инжиниринговые услуги в сфере архитектурной, градостроительной и строительной деятельности - комплекс услуг (технический и авторский надзоры), обеспечивающий подготовку и осуществление строительства с целью достижения оптимальных проектных показателей;</w:t>
      </w:r>
      <w:r>
        <w:br/>
      </w:r>
      <w:r>
        <w:rPr>
          <w:rFonts w:ascii="Times New Roman"/>
          <w:b w:val="false"/>
          <w:i w:val="false"/>
          <w:color w:val="000000"/>
          <w:sz w:val="28"/>
        </w:rPr>
        <w:t>
      экспертные работы - работы по экспертизе проектов и проведению технического обследования надежности и устойчивости зданий и сооружений;</w:t>
      </w:r>
      <w:r>
        <w:br/>
      </w:r>
      <w:r>
        <w:rPr>
          <w:rFonts w:ascii="Times New Roman"/>
          <w:b w:val="false"/>
          <w:i w:val="false"/>
          <w:color w:val="000000"/>
          <w:sz w:val="28"/>
        </w:rPr>
        <w:t>
      землеустроительный проект - комплекс технических, экономических, правовых документов, уточняющих площадь предоставляемого земельного участка, его границы и месторасположение, смежных собственников земельного участка и землепользователей, а также обременения и сервитуты предоставляемого земельного участка;</w:t>
      </w:r>
      <w:r>
        <w:br/>
      </w:r>
      <w:r>
        <w:rPr>
          <w:rFonts w:ascii="Times New Roman"/>
          <w:b w:val="false"/>
          <w:i w:val="false"/>
          <w:color w:val="000000"/>
          <w:sz w:val="28"/>
        </w:rPr>
        <w:t>
      единый архитектурный стиль – совокупность единых признаков, используемых в строительстве, характерная для определенного района застройки.»;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шестнадцатый</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«орган государственного архитектурно - строительного контроля (далее - орган госархстройконтроля) - государственный орган, осуществляющий государственный архитектурно - строительный контроль за безопасностью строительных объектов, лицензирования в области архитектурной, градостроительной и строительной деятельности на территории города Астаны. Руководитель органа госархстройконтроля города Астаны является главным государственным строительным инспектором города Астаны;»;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абзац тридцатый</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«специализированная архитектурная организация - юридическое лицо, учрежденное акиматом, основным видом деятельности которого является сбор исходных данных застройщику на осуществление градостроительной деятельности, разработка схемы отвода, разработка эскиза генерального плана города Астаны, разработка ситуационной схемы, разработка схемы размещения, выполнение топографической и исполнительной съемок, разбивка основных осей зданий и сооружений, вынос границ участков в натуре для строительства зданий и сооружений, оказание инжиниринговых услуг в сфере архитектурной, градостроительной и строительной деятельности, участие в процессе застройки районов индивидуального жилищного строительства в едином архитектурном стиле;»;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Осуществление отдельных видов деятельности в сфере архитектуры, градостроительства и строительства, требующих лицензирования, допускается лишь при наличии лицензии, за исключением деятельности, осуществляемой субъектами прямо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пункта 11 изложить в следующей редакции:</w:t>
      </w:r>
      <w:r>
        <w:br/>
      </w:r>
      <w:r>
        <w:rPr>
          <w:rFonts w:ascii="Times New Roman"/>
          <w:b w:val="false"/>
          <w:i w:val="false"/>
          <w:color w:val="000000"/>
          <w:sz w:val="28"/>
        </w:rPr>
        <w:t>
      «5) предоставляют по уведомлению органа госархстройконтроля необходимую информацию и техническую документацию по строительным объектам, а также заключение экспертизы соответствующих проектов;»;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12 изложить в следующей редакции:</w:t>
      </w:r>
      <w:r>
        <w:br/>
      </w:r>
      <w:r>
        <w:rPr>
          <w:rFonts w:ascii="Times New Roman"/>
          <w:b w:val="false"/>
          <w:i w:val="false"/>
          <w:color w:val="000000"/>
          <w:sz w:val="28"/>
        </w:rPr>
        <w:t>
      «2) принятие решения о предоставлении или об отказе в предоставлении соответствующего права на земельный участок (прирезке к имеющемуся дополнительного участка) для целей проектирования, обследования и проведения изыскательских работ и строительства;»;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пункта 12 изложить в следующей редакции:</w:t>
      </w:r>
      <w:r>
        <w:br/>
      </w:r>
      <w:r>
        <w:rPr>
          <w:rFonts w:ascii="Times New Roman"/>
          <w:b w:val="false"/>
          <w:i w:val="false"/>
          <w:color w:val="000000"/>
          <w:sz w:val="28"/>
        </w:rPr>
        <w:t>
      «7) утверждение концепции застройки районов индивидуального жилищного строительства в едином архитектурном стиле;»;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дополнить подпунктом 8) следующего содержания:</w:t>
      </w:r>
      <w:r>
        <w:br/>
      </w:r>
      <w:r>
        <w:rPr>
          <w:rFonts w:ascii="Times New Roman"/>
          <w:b w:val="false"/>
          <w:i w:val="false"/>
          <w:color w:val="000000"/>
          <w:sz w:val="28"/>
        </w:rPr>
        <w:t>
      «8) осуществление иных полномочий, возлагаемых на местные исполнительные органы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дополнить подпунктами 11), 12) следующего содержания:</w:t>
      </w:r>
      <w:r>
        <w:br/>
      </w:r>
      <w:r>
        <w:rPr>
          <w:rFonts w:ascii="Times New Roman"/>
          <w:b w:val="false"/>
          <w:i w:val="false"/>
          <w:color w:val="000000"/>
          <w:sz w:val="28"/>
        </w:rPr>
        <w:t>
      «11) разработка концепции застройки районов индивидуального жилищного строительства в едином архитектурном стиле;</w:t>
      </w:r>
      <w:r>
        <w:br/>
      </w:r>
      <w:r>
        <w:rPr>
          <w:rFonts w:ascii="Times New Roman"/>
          <w:b w:val="false"/>
          <w:i w:val="false"/>
          <w:color w:val="000000"/>
          <w:sz w:val="28"/>
        </w:rPr>
        <w:t>
      12) утверждение типовых форм договоров, заключаемых специализированной архитектурной организацией, в соответствии с параграфом 3 главы 12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14 изложить в следующей редакции:</w:t>
      </w:r>
      <w:r>
        <w:br/>
      </w:r>
      <w:r>
        <w:rPr>
          <w:rFonts w:ascii="Times New Roman"/>
          <w:b w:val="false"/>
          <w:i w:val="false"/>
          <w:color w:val="000000"/>
          <w:sz w:val="28"/>
        </w:rPr>
        <w:t>
      «2) готовит проекты постановлений акимата о предоставлении или об отказе в предоставлении соответствующего права на земельный участок;»;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дополнить подпунктом 2-1) следующего содержания:</w:t>
      </w:r>
      <w:r>
        <w:br/>
      </w:r>
      <w:r>
        <w:rPr>
          <w:rFonts w:ascii="Times New Roman"/>
          <w:b w:val="false"/>
          <w:i w:val="false"/>
          <w:color w:val="000000"/>
          <w:sz w:val="28"/>
        </w:rPr>
        <w:t>
      «2-1) заключает договоры купли-продажи и договоры аренды земельного участка и временного безвозмездного землепользования и осуществляет контроль за исполнением условий заключенных договоров;»;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15 изложить в следующей редакции:</w:t>
      </w:r>
      <w:r>
        <w:br/>
      </w:r>
      <w:r>
        <w:rPr>
          <w:rFonts w:ascii="Times New Roman"/>
          <w:b w:val="false"/>
          <w:i w:val="false"/>
          <w:color w:val="000000"/>
          <w:sz w:val="28"/>
        </w:rPr>
        <w:t>
      «2) выдача разрешения на строительно-монтажные работы, реконструкцию (перепланировку, переоборудование) отдельных помещений или отдельных частей в жилых зданиях;»;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6)</w:t>
      </w:r>
      <w:r>
        <w:rPr>
          <w:rFonts w:ascii="Times New Roman"/>
          <w:b w:val="false"/>
          <w:i w:val="false"/>
          <w:color w:val="000000"/>
          <w:sz w:val="28"/>
        </w:rPr>
        <w:t xml:space="preserve"> пункта 15 изложить в следующей редакции:</w:t>
      </w:r>
      <w:r>
        <w:br/>
      </w:r>
      <w:r>
        <w:rPr>
          <w:rFonts w:ascii="Times New Roman"/>
          <w:b w:val="false"/>
          <w:i w:val="false"/>
          <w:color w:val="000000"/>
          <w:sz w:val="28"/>
        </w:rPr>
        <w:t>
      «6) осуществление лицензирования архитектурной, градостроительной и строительной деятельности, аттестация экспертов на право осуществления экспертных работ и инжиниринговых услуг в сфере архитектурной, градостроительной и строительной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 1</w:t>
      </w:r>
      <w:r>
        <w:rPr>
          <w:rFonts w:ascii="Times New Roman"/>
          <w:b w:val="false"/>
          <w:i w:val="false"/>
          <w:color w:val="000000"/>
          <w:sz w:val="28"/>
        </w:rPr>
        <w:t xml:space="preserve"> главы 5 дополнить пунктом 17-1 следующего содержания:</w:t>
      </w:r>
      <w:r>
        <w:br/>
      </w:r>
      <w:r>
        <w:rPr>
          <w:rFonts w:ascii="Times New Roman"/>
          <w:b w:val="false"/>
          <w:i w:val="false"/>
          <w:color w:val="000000"/>
          <w:sz w:val="28"/>
        </w:rPr>
        <w:t>
      «17-1. В случае, предусмотренном в </w:t>
      </w:r>
      <w:r>
        <w:rPr>
          <w:rFonts w:ascii="Times New Roman"/>
          <w:b w:val="false"/>
          <w:i w:val="false"/>
          <w:color w:val="000000"/>
          <w:sz w:val="28"/>
        </w:rPr>
        <w:t>пункте 6</w:t>
      </w:r>
      <w:r>
        <w:rPr>
          <w:rFonts w:ascii="Times New Roman"/>
          <w:b w:val="false"/>
          <w:i w:val="false"/>
          <w:color w:val="000000"/>
          <w:sz w:val="28"/>
        </w:rPr>
        <w:t xml:space="preserve"> статьи 44 Земельного кодекса Республики Казахстан, физические и юридические лица дополнительно представляют договор, заключенный с каждым из собственников недвижимости, об условиях компенсации убытков собственнику. В договоре указываются конкретные условия и сроки отселения, переноса существующих строений, инженерных коммуникаций, зеленых насаждений, обязательства застройщика по возмещению всех убытков, связанных со сносом недвижимости.»;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 1</w:t>
      </w:r>
      <w:r>
        <w:rPr>
          <w:rFonts w:ascii="Times New Roman"/>
          <w:b w:val="false"/>
          <w:i w:val="false"/>
          <w:color w:val="000000"/>
          <w:sz w:val="28"/>
        </w:rPr>
        <w:t xml:space="preserve"> главы 5 дополнить пунктом 19-1 следующего содержания:</w:t>
      </w:r>
      <w:r>
        <w:br/>
      </w:r>
      <w:r>
        <w:rPr>
          <w:rFonts w:ascii="Times New Roman"/>
          <w:b w:val="false"/>
          <w:i w:val="false"/>
          <w:color w:val="000000"/>
          <w:sz w:val="28"/>
        </w:rPr>
        <w:t>
      «19-1. В случае представления заявителем неполного пакета документов, необходимых для принятия решения о предоставлении либо об отказе в предоставлении права на земельный участок, орган по земельным отношениям в течение двух рабочих дней дает письменный мотивированный отказ заявителю в рассмотрении заявления.»;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Заключение земельной комиссии составляется в двух экземплярах в форме протокольного решения в течение пяти рабочих дней с момента поступления в земельную комиссию предложения о возможности использования испрашиваемого земельного участка по заявленному целевому назначению в соответствии с территориальным зонированием или предоставления предварительного выбора земельного участка (при испрашивании земельного участка для строительства объектов).</w:t>
      </w:r>
      <w:r>
        <w:br/>
      </w:r>
      <w:r>
        <w:rPr>
          <w:rFonts w:ascii="Times New Roman"/>
          <w:b w:val="false"/>
          <w:i w:val="false"/>
          <w:color w:val="000000"/>
          <w:sz w:val="28"/>
        </w:rPr>
        <w:t>
      В случае принятия земельной комиссией положительного заключения один его экземпляр в течение пяти рабочих дней передается заявителю для подготовки землеустроительного проекта.»;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 1</w:t>
      </w:r>
      <w:r>
        <w:rPr>
          <w:rFonts w:ascii="Times New Roman"/>
          <w:b w:val="false"/>
          <w:i w:val="false"/>
          <w:color w:val="000000"/>
          <w:sz w:val="28"/>
        </w:rPr>
        <w:t xml:space="preserve"> главы 5 дополнить пунктом 27-1 следующего содержания:</w:t>
      </w:r>
      <w:r>
        <w:br/>
      </w:r>
      <w:r>
        <w:rPr>
          <w:rFonts w:ascii="Times New Roman"/>
          <w:b w:val="false"/>
          <w:i w:val="false"/>
          <w:color w:val="000000"/>
          <w:sz w:val="28"/>
        </w:rPr>
        <w:t>
      «27-1. После получения выписки из протокола земельной комиссии заявитель обеспечивает подготовку землеустроительного проекта и представляет его в орган по земельным отношениям для его утверждения.»;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следующее редакции:</w:t>
      </w:r>
      <w:r>
        <w:br/>
      </w:r>
      <w:r>
        <w:rPr>
          <w:rFonts w:ascii="Times New Roman"/>
          <w:b w:val="false"/>
          <w:i w:val="false"/>
          <w:color w:val="000000"/>
          <w:sz w:val="28"/>
        </w:rPr>
        <w:t>
      «29. Орган по земельным отношениям в срок не более десяти рабочих дней с даты принятия акиматом постановления о предоставлении земельного участка заключает с заявителем договор купли-продажи земельного участка или временного землепользования.»;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 2</w:t>
      </w:r>
      <w:r>
        <w:rPr>
          <w:rFonts w:ascii="Times New Roman"/>
          <w:b w:val="false"/>
          <w:i w:val="false"/>
          <w:color w:val="000000"/>
          <w:sz w:val="28"/>
        </w:rPr>
        <w:t xml:space="preserve"> главы 5 дополнить пунктом 33-1 следующего содержания:</w:t>
      </w:r>
      <w:r>
        <w:br/>
      </w:r>
      <w:r>
        <w:rPr>
          <w:rFonts w:ascii="Times New Roman"/>
          <w:b w:val="false"/>
          <w:i w:val="false"/>
          <w:color w:val="000000"/>
          <w:sz w:val="28"/>
        </w:rPr>
        <w:t>
      «33-1. При изъятии, принудительном отчуждении для государственных нужд земельного участка к землеустроительному проекту прилагаются расчеты убытков собственников земельных участков и землепользователей (арендаторов), потерь сельскохозяйственного и лесохозяйственного производства в зависимости от вида изымаемых угодий.»;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8</w:t>
      </w:r>
      <w:r>
        <w:rPr>
          <w:rFonts w:ascii="Times New Roman"/>
          <w:b w:val="false"/>
          <w:i w:val="false"/>
          <w:color w:val="000000"/>
          <w:sz w:val="28"/>
        </w:rPr>
        <w:t xml:space="preserve"> дополнить пунктом 55-1 следующего содержания:</w:t>
      </w:r>
      <w:r>
        <w:br/>
      </w:r>
      <w:r>
        <w:rPr>
          <w:rFonts w:ascii="Times New Roman"/>
          <w:b w:val="false"/>
          <w:i w:val="false"/>
          <w:color w:val="000000"/>
          <w:sz w:val="28"/>
        </w:rPr>
        <w:t>
      «55-1. Зонирование земель в населенных пунктах проводится в целях определения границ оценочных зон и поправочных коэффициентов к базовым ставкам платы за земельные участки.»;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«56. Земли зеленых зон являются местом отдыха населения и используются в культурно - оздоровительных, рекреационных и туристических целях. На этих землях не допускается возведение строений и сооружений, не совместимых с защитными, санитарно-гигиеническими функциями зеленых зон и целями организации отдыха населения.»;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«60. Постановление акимата города Астаны о предоставлении земельного участка для целей строительства и договор освоения земельного участка являются основанием для составления задания заказчика на проектирование намеченного объекта, если иное не предусмотрено настоящими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64 изложить в следующей редакции:</w:t>
      </w:r>
      <w:r>
        <w:br/>
      </w:r>
      <w:r>
        <w:rPr>
          <w:rFonts w:ascii="Times New Roman"/>
          <w:b w:val="false"/>
          <w:i w:val="false"/>
          <w:color w:val="000000"/>
          <w:sz w:val="28"/>
        </w:rPr>
        <w:t>
      «1) решение местного исполнительного органа о предоставлении (прирезке) земельного участка для нового строительства или разрешение местного исполнительного органа на изменение существующих объектов - для реконструкции (перепланировки, переоборудования);»;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«82. Экспертиза проектов по объектам, возводимым застройщиком (заказчиком) за счет собственных средств, осуществляется экспертами, имеющими соответствующий аттестат.»;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8)</w:t>
      </w:r>
      <w:r>
        <w:rPr>
          <w:rFonts w:ascii="Times New Roman"/>
          <w:b w:val="false"/>
          <w:i w:val="false"/>
          <w:color w:val="000000"/>
          <w:sz w:val="28"/>
        </w:rPr>
        <w:t xml:space="preserve"> пункта 110 изложить в следующей редакции:</w:t>
      </w:r>
      <w:r>
        <w:br/>
      </w:r>
      <w:r>
        <w:rPr>
          <w:rFonts w:ascii="Times New Roman"/>
          <w:b w:val="false"/>
          <w:i w:val="false"/>
          <w:color w:val="000000"/>
          <w:sz w:val="28"/>
        </w:rPr>
        <w:t>
      «8) подготовительные работы, связанные со сносом существующих зданий и сооружений, с устройством временных инженерных сетей, дорог, складских площадок, а также вертикальной планировкой территории.»;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«111. Разрешение органа госархстройконтроля оформляется на производство строительно-монтажных работ, реконструкции (перепланировки, переоборудования) отдельных помещений или отдельных частей в жилых зданиях.»;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145 изложить в следующей редакции:</w:t>
      </w:r>
      <w:r>
        <w:br/>
      </w:r>
      <w:r>
        <w:rPr>
          <w:rFonts w:ascii="Times New Roman"/>
          <w:b w:val="false"/>
          <w:i w:val="false"/>
          <w:color w:val="000000"/>
          <w:sz w:val="28"/>
        </w:rPr>
        <w:t>
      «1) обращение в акимат города Астаны с письменным заявлением о предоставлении соответствующего права на земельный участок в порядке, установленном земельным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параграф 1</w:t>
      </w:r>
      <w:r>
        <w:rPr>
          <w:rFonts w:ascii="Times New Roman"/>
          <w:b w:val="false"/>
          <w:i w:val="false"/>
          <w:color w:val="000000"/>
          <w:sz w:val="28"/>
        </w:rPr>
        <w:t xml:space="preserve"> главы 12 дополнить пунктом 149-1 следующего содержания:</w:t>
      </w:r>
      <w:r>
        <w:br/>
      </w:r>
      <w:r>
        <w:rPr>
          <w:rFonts w:ascii="Times New Roman"/>
          <w:b w:val="false"/>
          <w:i w:val="false"/>
          <w:color w:val="000000"/>
          <w:sz w:val="28"/>
        </w:rPr>
        <w:t>
      «149-1. Проекты застройки территорий индивидуальной застройки определяют районы, застройка которых осуществляется в едином архитектурном стиле. Единый архитектурный стиль утверждается акиматом города Астаны в виде концепции и предусматривает дополнительные условия освоения земельных участков, расположенных в таких районах, в соответствии с особенностями, определенными настоящими Правилами.»;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12</w:t>
      </w:r>
      <w:r>
        <w:rPr>
          <w:rFonts w:ascii="Times New Roman"/>
          <w:b w:val="false"/>
          <w:i w:val="false"/>
          <w:color w:val="000000"/>
          <w:sz w:val="28"/>
        </w:rPr>
        <w:t xml:space="preserve"> дополнить параграфом 3 следующего содержания:</w:t>
      </w:r>
      <w:r>
        <w:br/>
      </w:r>
      <w:r>
        <w:rPr>
          <w:rFonts w:ascii="Times New Roman"/>
          <w:b w:val="false"/>
          <w:i w:val="false"/>
          <w:color w:val="000000"/>
          <w:sz w:val="28"/>
        </w:rPr>
        <w:t>
      «</w:t>
      </w:r>
      <w:r>
        <w:drawing>
          <wp:inline distT="0" distB="0" distL="0" distR="0">
            <wp:extent cx="139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279400"/>
                    </a:xfrm>
                    <a:prstGeom prst="rect">
                      <a:avLst/>
                    </a:prstGeom>
                  </pic:spPr>
                </pic:pic>
              </a:graphicData>
            </a:graphic>
          </wp:inline>
        </w:drawing>
      </w:r>
      <w:r>
        <w:rPr>
          <w:rFonts w:ascii="Times New Roman"/>
          <w:b w:val="false"/>
          <w:i w:val="false"/>
          <w:color w:val="000000"/>
          <w:sz w:val="28"/>
        </w:rPr>
        <w:t xml:space="preserve"> 3. Особенности индивидуального жилищного строительства в едином архитектурном стиле.</w:t>
      </w:r>
      <w:r>
        <w:br/>
      </w:r>
      <w:r>
        <w:rPr>
          <w:rFonts w:ascii="Times New Roman"/>
          <w:b w:val="false"/>
          <w:i w:val="false"/>
          <w:color w:val="000000"/>
          <w:sz w:val="28"/>
        </w:rPr>
        <w:t>
      153-1. Для составления задания заказчика на проектирование намеченного объекта помимо требований пункта 60 настоящих Правил необходимы договоры в соответствии с постановлением акимата о предоставлении соответствующего права на земельный участок.</w:t>
      </w:r>
      <w:r>
        <w:br/>
      </w:r>
      <w:r>
        <w:rPr>
          <w:rFonts w:ascii="Times New Roman"/>
          <w:b w:val="false"/>
          <w:i w:val="false"/>
          <w:color w:val="000000"/>
          <w:sz w:val="28"/>
        </w:rPr>
        <w:t>
      153-2. Договоры, указанные в пункте 153-1 настоящих Правил, заключаются между специализированной архитектурной организацией и застройщиком.</w:t>
      </w:r>
      <w:r>
        <w:br/>
      </w:r>
      <w:r>
        <w:rPr>
          <w:rFonts w:ascii="Times New Roman"/>
          <w:b w:val="false"/>
          <w:i w:val="false"/>
          <w:color w:val="000000"/>
          <w:sz w:val="28"/>
        </w:rPr>
        <w:t>
      153-3. Специализированная архитектурная организация при реализации проекта застройки района индивидуального жилищного строительства в соответствии с условиями договоров, заключаемых с застройщиком, выполняет следующие действия:</w:t>
      </w:r>
      <w:r>
        <w:br/>
      </w:r>
      <w:r>
        <w:rPr>
          <w:rFonts w:ascii="Times New Roman"/>
          <w:b w:val="false"/>
          <w:i w:val="false"/>
          <w:color w:val="000000"/>
          <w:sz w:val="28"/>
        </w:rPr>
        <w:t>
      1) осуществление работ по получению необходимых разрешительных документов на производство строительно-монтажных работ в органах госархстройконтроля;</w:t>
      </w:r>
      <w:r>
        <w:br/>
      </w:r>
      <w:r>
        <w:rPr>
          <w:rFonts w:ascii="Times New Roman"/>
          <w:b w:val="false"/>
          <w:i w:val="false"/>
          <w:color w:val="000000"/>
          <w:sz w:val="28"/>
        </w:rPr>
        <w:t>
      2) оказание инжиниринговых услуг в сфере архитектурной, градостроительной и строительной деятельности;</w:t>
      </w:r>
      <w:r>
        <w:br/>
      </w:r>
      <w:r>
        <w:rPr>
          <w:rFonts w:ascii="Times New Roman"/>
          <w:b w:val="false"/>
          <w:i w:val="false"/>
          <w:color w:val="000000"/>
          <w:sz w:val="28"/>
        </w:rPr>
        <w:t>
      3) выполнение всех работ, связанных с возведением и установлением ограждений индивидуальных жилых домов в полном соответствии с утвержденной проектной документацией;</w:t>
      </w:r>
      <w:r>
        <w:br/>
      </w:r>
      <w:r>
        <w:rPr>
          <w:rFonts w:ascii="Times New Roman"/>
          <w:b w:val="false"/>
          <w:i w:val="false"/>
          <w:color w:val="000000"/>
          <w:sz w:val="28"/>
        </w:rPr>
        <w:t>
      4) осуществление общей координации процесса проектирования и строительства индивидуальных жилых домов с учетом единого архитектурного стиля;</w:t>
      </w:r>
      <w:r>
        <w:br/>
      </w:r>
      <w:r>
        <w:rPr>
          <w:rFonts w:ascii="Times New Roman"/>
          <w:b w:val="false"/>
          <w:i w:val="false"/>
          <w:color w:val="000000"/>
          <w:sz w:val="28"/>
        </w:rPr>
        <w:t>
      5) содействие застройщикам при осуществлении строительства и благоустройства усадебных участков в соответствии с утвержденной проектной документацией;</w:t>
      </w:r>
      <w:r>
        <w:br/>
      </w:r>
      <w:r>
        <w:rPr>
          <w:rFonts w:ascii="Times New Roman"/>
          <w:b w:val="false"/>
          <w:i w:val="false"/>
          <w:color w:val="000000"/>
          <w:sz w:val="28"/>
        </w:rPr>
        <w:t>
      6) осуществление работ по получению схем трасс на подключение индивидуальных жилых домов к инженерным сетям.</w:t>
      </w:r>
      <w:r>
        <w:br/>
      </w:r>
      <w:r>
        <w:rPr>
          <w:rFonts w:ascii="Times New Roman"/>
          <w:b w:val="false"/>
          <w:i w:val="false"/>
          <w:color w:val="000000"/>
          <w:sz w:val="28"/>
        </w:rPr>
        <w:t>
      153-4. Специализированная архитектурная организация в целях координации процесса проектирования и строительства индивидуальных жилых домов в районе, в котором застройка осуществляется в едином архитектурном стиле, обеспечивает взаимодействие со всеми застройщиками и подрядчиками.</w:t>
      </w:r>
      <w:r>
        <w:br/>
      </w:r>
      <w:r>
        <w:rPr>
          <w:rFonts w:ascii="Times New Roman"/>
          <w:b w:val="false"/>
          <w:i w:val="false"/>
          <w:color w:val="000000"/>
          <w:sz w:val="28"/>
        </w:rPr>
        <w:t>
      153-5. Специализированная архитектурная организация выступает в качестве единого заказчика подрядных работ по строительству ограждений в соответствии с утвержденной проектной документацией в пределах всего района застройки в едином архитектурном стиле. Строительство ограждений осуществляется за счет застройщика и передается в собственность застройщика после завершения всех работ.</w:t>
      </w:r>
      <w:r>
        <w:br/>
      </w:r>
      <w:r>
        <w:rPr>
          <w:rFonts w:ascii="Times New Roman"/>
          <w:b w:val="false"/>
          <w:i w:val="false"/>
          <w:color w:val="000000"/>
          <w:sz w:val="28"/>
        </w:rPr>
        <w:t>
      153-6. Строительство индивидуальных жилых домов осуществляется застройщиками самостоятельно в строгом соответствии с утвержденной проектной документацией.</w:t>
      </w:r>
      <w:r>
        <w:br/>
      </w:r>
      <w:r>
        <w:rPr>
          <w:rFonts w:ascii="Times New Roman"/>
          <w:b w:val="false"/>
          <w:i w:val="false"/>
          <w:color w:val="000000"/>
          <w:sz w:val="28"/>
        </w:rPr>
        <w:t>
      153-7. Специализированная архитектурная организация оказывает содействие в работе государственных органов архитектурно-строительного контроля и надзора на территории района застройки в части соответствия выполненных (выполняемых) строительно-монтажных работ утвержденному единому архитектурному стилю.»;</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184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«184. По окончанию монтажа инженерных сетей и строительства инженерных сооружений, но до их засыпки грунтом застройщик (заказчик) или строительная организация должны обеспечить выполнение специализированной архитектурной организацией исполнительной топографической съемки в масштабе 1:500, один экземпляр которой предоставляется в орган архитектуры и градостроительства.».</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маслихата города Астаны от 23.09.2015 </w:t>
      </w:r>
      <w:r>
        <w:rPr>
          <w:rFonts w:ascii="Times New Roman"/>
          <w:b w:val="false"/>
          <w:i w:val="false"/>
          <w:color w:val="000000"/>
          <w:sz w:val="28"/>
        </w:rPr>
        <w:t>№ 413/57-V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маслихата города Астаны                    Б. Исабаев</w:t>
      </w:r>
    </w:p>
    <w:p>
      <w:pPr>
        <w:spacing w:after="0"/>
        <w:ind w:left="0"/>
        <w:jc w:val="both"/>
      </w:pPr>
      <w:r>
        <w:rPr>
          <w:rFonts w:ascii="Times New Roman"/>
          <w:b w:val="false"/>
          <w:i/>
          <w:color w:val="000000"/>
          <w:sz w:val="28"/>
        </w:rPr>
        <w:t>      Секретарь маслихата</w:t>
      </w:r>
      <w:r>
        <w:br/>
      </w:r>
      <w:r>
        <w:rPr>
          <w:rFonts w:ascii="Times New Roman"/>
          <w:b w:val="false"/>
          <w:i w:val="false"/>
          <w:color w:val="000000"/>
          <w:sz w:val="28"/>
        </w:rPr>
        <w:t>
</w:t>
      </w:r>
      <w:r>
        <w:rPr>
          <w:rFonts w:ascii="Times New Roman"/>
          <w:b w:val="false"/>
          <w:i/>
          <w:color w:val="000000"/>
          <w:sz w:val="28"/>
        </w:rPr>
        <w:t>      города Астаны                              С. Есилов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ГУ «Управление архитектуры и</w:t>
      </w:r>
      <w:r>
        <w:br/>
      </w:r>
      <w:r>
        <w:rPr>
          <w:rFonts w:ascii="Times New Roman"/>
          <w:b w:val="false"/>
          <w:i w:val="false"/>
          <w:color w:val="000000"/>
          <w:sz w:val="28"/>
        </w:rPr>
        <w:t>
</w:t>
      </w:r>
      <w:r>
        <w:rPr>
          <w:rFonts w:ascii="Times New Roman"/>
          <w:b w:val="false"/>
          <w:i/>
          <w:color w:val="000000"/>
          <w:sz w:val="28"/>
        </w:rPr>
        <w:t>      градостроительства города Астаны»</w:t>
      </w:r>
      <w:r>
        <w:br/>
      </w:r>
      <w:r>
        <w:rPr>
          <w:rFonts w:ascii="Times New Roman"/>
          <w:b w:val="false"/>
          <w:i w:val="false"/>
          <w:color w:val="000000"/>
          <w:sz w:val="28"/>
        </w:rPr>
        <w:t>
</w:t>
      </w:r>
      <w:r>
        <w:rPr>
          <w:rFonts w:ascii="Times New Roman"/>
          <w:b w:val="false"/>
          <w:i/>
          <w:color w:val="000000"/>
          <w:sz w:val="28"/>
        </w:rPr>
        <w:t>      (УА и Г)                                   В. Силецкий</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ГУ «Управление строительства</w:t>
      </w:r>
      <w:r>
        <w:br/>
      </w:r>
      <w:r>
        <w:rPr>
          <w:rFonts w:ascii="Times New Roman"/>
          <w:b w:val="false"/>
          <w:i w:val="false"/>
          <w:color w:val="000000"/>
          <w:sz w:val="28"/>
        </w:rPr>
        <w:t>
</w:t>
      </w:r>
      <w:r>
        <w:rPr>
          <w:rFonts w:ascii="Times New Roman"/>
          <w:b w:val="false"/>
          <w:i/>
          <w:color w:val="000000"/>
          <w:sz w:val="28"/>
        </w:rPr>
        <w:t>      города Астаны» (УС)                        В. Лютов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