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fd6a" w14:textId="407f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28 февраля 2011 года № 18 "Об утверждении перечня обязательных условий договора банковского займа и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2012 года № 372. Зарегистрировано в Министерстве юстиции Республики Казахстан 28 января 2013 года № 8308. Утратило силу постановлением Правления Национального Банка Республики Казахстан от 23 декабря 2019 года № 248.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23.12.2019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февраля 2011 года № 18 "Об утверждении перечня обязательных условий договора банковского займа и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(зарегистрировано в Реестре государственной регистрации нормативных правовых актов под № 6877, опубликованное в 2011 году в газете "Казахстанская правда" № 177-178)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Общие условия договора содержат: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заключения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банковского займа (далее - займ), соответствующую бизнес-плану или технико-экономическому обоснованию займа и (или) заявлению, представленным заемщиком, за исключением займа, выданного на срок не более одного месяца, договора, выданного в рамках кредитной линии по платежной карточке, кредита овердрафт, а также соглашения об открытии кредитной линии, для получения займа, в рамках которого необходимо заключение договора (договоров) о предоставлении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общую сумму и валюту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ставки вознаграждения (фиксированная или плавающая), размер ставки вознаграждения в годовых процентах, размер ставки вознаграждения в достоверном годовом эффективном сопоставимом исчислении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137 "Об утверждении Правил исчисления ставок вознаграждения в достоверном, годовом, эффективном, сопоставимом исчислении (реальной стоимости) по займам и вкладам" (зарегистрированным в Реестре государственной регистрации нормативных правовых актов под № 7663), на дату заключения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расчета плавающей ставки вознаграждения в случае, если договором предусмотрена плавающая ставка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наценки при предоставлении исламским банком коммерческого кредита (фиксированная или в процентном выражении от цены покупки товара);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способ погашения (наличными, в безналичном порядке);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погашения займа: аннуитетный (с погашением равными платежами) или дифференцированный (с погашением основного долга равными долями) либо другой метод в соответствии с внутренними правилами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очередность погашения задолженности по займу;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порядок исчисления и размер неустойки (штрафа, пени) за несвоевременные погашения и уплату вознаграждения. При выдаче займа физическому лицу указываются предельный размер неустойки (штрафа, пени), а также порядок ее исчисления,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полный перечень комиссий и их размеры, подлежащие взиманию в связи с выдачей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порядок (через кассу, на банковский счет через удаленный терминал и другие по согласованию сторон), периодичность погашения займа и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(вид: залог, неустойка, гарантия, поручительство, удержание и иные виды), за исключением займа, предоставляемого без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меры, принимаемые банком при неисполнении либо ненадлежащем исполнении заемщиком обязательств по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срок действия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виды и сроки отчетности, представляемой заемщиком - юридическим лицом банку;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указание о наличии согласия заемщика (созаемщика) на предоставление сведений о нем в кредитные бюро и на предоставление кредитным бюро банку кредитного отчета о нем, а также информации, связанной с исполнением сторонами своих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информацию о почтовом и электронном адресе банка, а также данные о его официальном интернет–ресурсе.";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Договор ипотечного займа, заключенный с физическим лицом, содержит право заемщика письменно обратиться к банковскому омбудсману в соответствии с Законом о банках для урегулирования разногласий, возникших из заключенного договора ипотечного займа.";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Ограничения для банка содержат условия, предусматривающие запрет: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одностороннем порядке изменять в сторону увеличения установленные на дату заключения договора с заемщиком - физическим лицом размеры и порядок расчета тарифов, комиссионных вознаграждений и других расходов по обслуживанию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одностороннем порядке вводить новые виды комиссий в рамках заключенного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ограничивать заемщика, залогодателя в выборе страховой организации и (или) оценщика, если условиями о предоставлении займа предусмотрены требования о заключении договоров страхования и (или) на проведение оценки в целях определения рыночной стоимости имущества, являющегося обеспечением, а также возложение на заемщика обязанность страховать свою жизнь и здоровье;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одностороннем порядке приостанавливать выдачу новых займов в рамках заключенного договора, за исключением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предусмотренных договором, при которых у банка возникает право не осуществлять предоставление новых займов;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заемщиком своих обязательств перед банком по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ухудшения финансового состояния заемщика, выявленного по результатам мониторинга, проводимого банком в соответствии с постановлением Правления Агентства Республики Казахстан по регулированию и надзору финансового рынка и финансовых организаций от 30 сентября 2005 года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о требованиях к наличию систем управления рисками и внутреннего контроля в банках второго уровня" (зарегистрированным в Реестре государственной регистрации нормативных правовых актов под № 3925), постановлением Правления Агентства Республики Казахстан по регулированию и надзору финансового рынка и финансовых организаций от 25 декабря 2006 года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классификации активов, условных обязательств и создания провизий (резервов) против них" (зарегистрированным в Реестре государственной регистрации нормативных правовых актов под № 4580), постановлением Правления Агентства Республики Казахстан по регулированию и надзору финансового рынка и финансовых организаций от 23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документации по кредитованию" (зарегистрированным в Реестре государственной регистрации нормативных правовых актов под № 4602);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требований законодательства Республики Казахстан, влияющих на надлежащее исполнение банком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одностороннем порядке изменять в сторону увеличения, установленные на дату заключения договора с юридическими лицами, ставки вознаграждения, за исключением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заемщиком своих обязательств по предоставлению достоверной информации, связанной с получением и обслуживанием займа, в случаях, предусмотренных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возникновения у банка права требования досрочного исполнения обязательства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в следующих случаях, предусмотренных договором: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состава участников (акционеров) заемщика, в совокупности владеющих десятью и более процентами акций (долей участия) акционерного общества (хозяйственного товарищества), без предварительного письменного уведомления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заемщиком и (или) залогодателем права банка, являющегося залогодержателем, проверять по документам и фактически наличие, размер, состояние и условия хранения заложенного имущества, а также предъявления третьими лицами требований к имуществу заемщика (залогодателя), в том числе имуществу, заложенному банку;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взимать неустойку или иные виды штрафных санкций за досрочное погашение займов, за исключением случаев частичного досрочного погашения или полного досрочного погашения основного долга до одного года с даты получения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взимать неустойку или иные виды штрафных санкций в случае, если дата погашения основного долга или вознаграждения выпадает на выходной либо праздничный день, и уплата вознаграждения или основного долга производится в следующий за ним рабочий день.";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 договору прилагается подписанный его сторонами график погашения займа, в котором указываются номер и дата заключения договора, сумма и валюта займа, даты погашения и размеры очередных платежей с указанием сумм погашения основного долга, вознаграждения и их суммарного значения, остатки основного долга на дату следующего погашения, а также общие итоговые суммы основного долга и вознаграждения, подлежащие выплате, и их суммарное значение, дата составления графика погашения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с плавающей ставкой вознаграждения график погашения займа составляется на дату его выдачи, и в последующем размеры очередных платежей корректируются и доводятся до сведения заемщика (созаемщика) в порядке, установленном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заемщиком (созаемщиком) является физическое лицо, график погашения займа, составленный на дату выдачи займа, также содержит перечень предложенных банком методов погашения займа с отметкой заемщика (созаемщика) о выбранном методе.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условий займа, влекущих изменение графика его погашения, составляется новый график погашения займа с учетом новых условий.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кредитной линии, в рамках которой выдача очередной части займа осуществляется на основании заявления заемщика и подписанного графика погашения займа, последний содержит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настоящего пункта не распространяются на договор о выдаче займа на срок не более одного месяца, договор, выданный в рамках кредитной линии по платежной карточке, кредит овердрафт, а также соглашение об открытии кредитной линии, для получения займа в рамках которого необходимо заключение договора (договоров) о предоставлении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Договор заключается между банком и заемщиком в письменной форме на государственном и русском языках с приложением в необходимых случаях перевода на другие языки, а в случае заключения договора с иностранными лицами - на государственном и приемлемом для сторон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договора печатается на листах формата А4, шрифтом "Тimеs New Rоmаn" размером не менее 12, с обычным межбуквенным, одинарным межстрочным интервалами и применением абзацных отступов.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физических лиц условия,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отражаются на первых двух страницах договора (или на первых четырех страницах, если договор оформляется одновременно на двух языках с разделением листа на две графы), подпунктов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постановления – непосредственно сразу после них в указанной последовательности.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юридических лиц условия,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отражаются на первых двух страницах договора (или на первых четырех страницах, если договор оформляется одновременно на двух языках с разделением листа на две графы),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постановления непосредственно сразу после них в указанной последовательности.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заключении договора банковского займа путем направления письменного предложения о заключении договора (оферты) первые две и последующие страницы оферты содержат условия, предусмотренные частями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в установленной данным пунктом последовательности. Требования части второй пункта 10 настоящего постановления распространяются на оферту.".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