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5a0b" w14:textId="dd9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подтверждения об учете сделок экспортера (приобретение необработанных драгоценных камней и (или) необработанных природных алмазов на внутреннем рынке государств - членов Таможенного союза) по предоставленным контрактам (договорам) на закупку драгоценных камней и (или) необработанных природных алмазов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декабря 2012 года № 480. Зарегистрирован в Министерстве юстиции Республики Казахстан 8 января 2013 года № 8258. Утратил силу приказом Министра по инвестициям и развитию Республики Казахстан от 5 октября 2017 года № 677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05.10.2017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постановлением Правительства Республики Казахстан от 23 ноября 2012 года № 1479,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подтверждения об учете сделок экспортера (приобретение необработанных драгоценных камней и (или) необработанных природных алмазов на внутреннем рынке государств – членов Таможенного союза) по предоставленным контрактам (договорам) на закупку драгоценных камней и (или) необработанных природных алмазов.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(Сатбаеву Р.А.)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№ 480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подтверждения об учете сделок экспортера</w:t>
      </w:r>
      <w:r>
        <w:br/>
      </w:r>
      <w:r>
        <w:rPr>
          <w:rFonts w:ascii="Times New Roman"/>
          <w:b/>
          <w:i w:val="false"/>
          <w:color w:val="000000"/>
        </w:rPr>
        <w:t>(приобретение необработанных драгоценных камней и (или)</w:t>
      </w:r>
      <w:r>
        <w:br/>
      </w:r>
      <w:r>
        <w:rPr>
          <w:rFonts w:ascii="Times New Roman"/>
          <w:b/>
          <w:i w:val="false"/>
          <w:color w:val="000000"/>
        </w:rPr>
        <w:t>необработанных природных алмазов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союза) по предоставленным контрактам (договорам) на закупку драгоценных камней и (или)</w:t>
      </w:r>
      <w:r>
        <w:br/>
      </w:r>
      <w:r>
        <w:rPr>
          <w:rFonts w:ascii="Times New Roman"/>
          <w:b/>
          <w:i w:val="false"/>
          <w:color w:val="000000"/>
        </w:rPr>
        <w:t>необработанных природных алмазов</w:t>
      </w:r>
      <w:r>
        <w:br/>
      </w:r>
      <w:r>
        <w:rPr>
          <w:rFonts w:ascii="Times New Roman"/>
          <w:b/>
          <w:i w:val="false"/>
          <w:color w:val="000000"/>
        </w:rPr>
        <w:t>1. Общие требования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подтверждения об учете сделок экспортера (приобретение необработанных драгоценных камней и (или) необработанных природных алмазов на внутреннем рынке государств – членов Таможенного союза) по предоставленным контрактам (договорам) на закупку драгоценных камней и (или) необработанных природных алмазов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постановлением Правительства Республики Казахстан от 23 ноября 2012 года № 1479 и определяют порядок выдачи подтверждения об учете сделок экспортера (приобретение необработанных драгоценных камней и (или) необработанных природных алмазов на внутреннем рынке государств – членов Таможенного союза) по предоставленным контрактам (договорам) на закупку драгоценных камней или необработанных природных алмазов (далее - подтверждение об учете сделок экспортера).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Выдача подтверждения об учете сделок экспортера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выдачи подтверждения об учете сделки экспортера заявитель представляет в территориальный департамент Комитета технического регулирования и метрологии Министерства индустрии и новых технологий Республики Казахстан (далее – территориальный департамент) следующие документы: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подтверждения об учете сделок экспортера произвольной формы;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о постановке на специальный учет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контракта (договора) на закупку драгоценных камней или необработанных природных алмазов.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территориальный департамент одновременно представляются оригиналы, запрашиваемых документов, для сверки либо нотариально засвидетельствованные копии.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департамент рассматривает представленные документы и в течение 2 (двух) рабочих дней со дня получения: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информацию о сделках в журнал учета сделок экспортеров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подтверждение об учете сделок экспортера в письменной форме.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в полном объеме заявление оставляется без рассмотрения, о чем заявителю в течение 2 (двух) рабочих дней направляется мотивированный письменный ответ.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учете сделок 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(приобретение необработанных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алмазов 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 по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 (договорам) на закупку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необработанных природных алмазов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сделок экспортеров*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979"/>
        <w:gridCol w:w="3816"/>
        <w:gridCol w:w="5947"/>
        <w:gridCol w:w="767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учетной записи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его наличии) и дата контракта (договора) на закупку драгоценных камней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об участнике сделки (наименование и местонахождение - для юридического лица, фамилия, инициалы и место проживания - для физического лица)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сделки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Журнал учета сделок экспортера ведется на бумажном носителе, прошнуровывается и пронумеровывается. На последней странице проставляются, дата начала ведения журнала и количество содержащихся в нем страниц, которые скрепляются подписью руководителя и печатью уполномоченного органа.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