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96ad04" w14:textId="e96ad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 "Регистрация залога железнодорожного подвижного состава"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транспорта и коммуникаций Республики Казахстан от 27 ноября 2012 года № 823. Зарегистрирован в Министерстве юстиции Республики Казахстан 10 декабря 2012 года № 8147. Утратил силу приказом и.о. Министра по инвестициям и развитию Республики Казахстан от 5 февраля 2015 года № 110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и.о. Министра по инвестициям и развитию РК от 05.02.2015 </w:t>
      </w:r>
      <w:r>
        <w:rPr>
          <w:rFonts w:ascii="Times New Roman"/>
          <w:b w:val="false"/>
          <w:i w:val="false"/>
          <w:color w:val="ff0000"/>
          <w:sz w:val="28"/>
        </w:rPr>
        <w:t>№ 110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«Об административных процедурах» и 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5 сентября 2012 года № 1153 «Об утверждении стандартов государственных услуг Министерства транспорта и коммуникаций Республики Казахстан в сфере транспортного контроля и внесении изменений и дополнений в некоторые решения Правительства Республики Казахстан»,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залога железнодорожного подвижного состава».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транспортного контроля Министерства транспорта и коммуникаций Республики Казахстан (Абишев Б.Ш.)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после его государственной регистрации в Министерстве юстиции Республики Казахстан официальное опубликование в средствах массовой информации и размещение на официальном интернет-ресурсе Министерства транспорта и коммуникаций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транспорта и коммуникаций Республики Казахстан Абсаттарова К.Б.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>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А. Жумагалиев</w:t>
      </w:r>
    </w:p>
    <w:bookmarkStart w:name="z2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транспорта и коммуникаций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ноября 2012 года № 823</w:t>
      </w:r>
    </w:p>
    <w:bookmarkEnd w:id="1"/>
    <w:bookmarkStart w:name="z3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«Регистрация залога железнодорожного подвижного состава»</w:t>
      </w:r>
    </w:p>
    <w:bookmarkEnd w:id="2"/>
    <w:bookmarkStart w:name="z31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регламент государственной услуги «Регистрация залога железнодорожного подвижного состава» (далее – Регламент) разработан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года,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«О регистрации залога движимого имущества»,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ноября 2011 года № 1351 «Об утверждении Правил регистрации железнодорожного подвижного состава» (далее – Правила), </w:t>
      </w:r>
      <w:r>
        <w:rPr>
          <w:rFonts w:ascii="Times New Roman"/>
          <w:b w:val="false"/>
          <w:i w:val="false"/>
          <w:color w:val="000000"/>
          <w:sz w:val="28"/>
        </w:rPr>
        <w:t>стандартом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«Регистрация залога железнодорожного подвижного состава» (далее – Стандарт), утвержденным постановлением Правительства Республики Казахстан от 29 октября 2009 года № 1710 «Об утверждении стандартов государственных услуг Министерства транспорта и коммуникаций Республики Казахстан в сфере транспортного контроля».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 настоящем Регламенте используются следующие понятия: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– это физические и юридические лица, зарегистрированные в Республике Казахстан, а также иностранные юридические лица, иностранные граждане, лица без гражданства и международные организаций на основе доверительного управления выданные юридическим и физическим лицам Республики Казахстан по месту их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структурно-функциональные единицы (далее – СФЕ) – ответственные лица уполномоченных органов, структурные подразделения государственных органов, государственные органы, информационные системы или подсистемы, которые участвуют в процессе оказания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«Регистрация залога железнодорожного подвижного состава» оказывается территориальными органами Комитета транспортного контроля Министерства транспорта и коммуникаций Республики Казахстан (далее – уполномоченный орган) через Республиканское Государственное предприятие «Центр обслуживания населения» Комитета по контролю автоматизации государственных услуг и координации деятельности центров обслуживания населения Министерства транспорта и коммуникаций Республики Казахстан (далее – ЦОН) по адресам, указанным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 </w:t>
      </w:r>
      <w:r>
        <w:rPr>
          <w:rFonts w:ascii="Times New Roman"/>
          <w:b w:val="false"/>
          <w:i w:val="false"/>
          <w:color w:val="000000"/>
          <w:sz w:val="28"/>
        </w:rPr>
        <w:t>статьи 308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 от 27 декабря 1994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июня 1998 года «О регистрации залога движимого имущества»;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Результатом завершения государственной услуги является выдача свидетельства о государственной регистрации залога железнодорожного подвижного состава (далее – свидетельство), дубликат свидетельства о регистрации залога железнодорожного подвижного состава либо мотивированный ответ об отказе в предоставлении государственной услуги на бумажном носителе.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оказывается на платной основе.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Регистрационный сбор уплачивается в местный бюджет по ставкам и в порядке, установленных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10 декабря 2008 года «О налогах и других обязательных платежах в бюджет (Налоговый кодекс)» и составляет: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с физических лиц – один месячный расчетный показатель, действующий на дату уплаты сбора;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 юридических лиц – пять месячных расчетных показателей, действующих на дату уплаты сбора.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За выдачу дубликата документа, удостоверяющего государственную регистрацию залога движимого имущества 0,5 месячных расчетных показателей.</w:t>
      </w:r>
    </w:p>
    <w:bookmarkEnd w:id="4"/>
    <w:bookmarkStart w:name="z4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оказанию государственной услуги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 месту проживания получателя государственной услуги, если залогодателем является физическое лицо, в том числе индивидуальный предприниматель;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по месту регистрации юридического лица в случае, если залогодателем является юридическое лицо.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Государственная услуга предоставляется ежедневно, с понедельника по субботу включительно, за исключением выходных и праздничных дней, в соответствии с установленным графиком работы с 9.00 часов до 20.00 без перерыва.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«электронной» очереди, 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Полная информация о порядке оказания государственной услуги и необходимых документах, а также образцы их заполнения располагаются: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Министерства транспорта и коммуникаций Республики Казахстан: www.mtc.gov.kz (в подразделе «Государственные услуги» раздела «Комитет транспортного контроля»);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интернет-ресурсе ЦОН по адресу www.con.gov.kz;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 стендах, расположенных в помещениях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call-Центре 1414.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государственной услуги представляет документы согласно </w:t>
      </w:r>
      <w:r>
        <w:rPr>
          <w:rFonts w:ascii="Times New Roman"/>
          <w:b w:val="false"/>
          <w:i w:val="false"/>
          <w:color w:val="000000"/>
          <w:sz w:val="28"/>
        </w:rPr>
        <w:t>пункту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Сроки предоставления государственной услуги установлены в 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выдаче свидетельства о государственной регистрации залога железнодорожного подвижного состава отказывается в случаях, предусмотренных 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Этапы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государственной услуги подает заявление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ЦОН проводит регистрацию заявления, работник накопительного отдела ЦОН передает документы в уполномоченный орган через курьера.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Факт отправки пакета документов из ЦОН в уполномоченный орган фиксируется при помощи Сканера штрихкода, позволяющего отслеживать движение документов в процессе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 в течение одного рабочего дня со дня поступления документов в уполномоченный орган, проводит регистрацию полученных документов, и передает на рассмотрение руководителю, либо его заместителю, при этом в правом нижнем углу заявления проставляется регистрационный штамп на государственном языке с указанием даты поступления и входящего номера;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руководитель уполномоченного органа (его филиала), либо его заместители в течение одного рабочего дня со дня поступления документов в уполномоченный орган, рассматривают заявление о регистрации залога железнодорожного подвижного состава, выдаче дубликата свидетельства и отписывает начальнику отдела контроля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железнодорожном транспорте в течение одного рабочего дня со дня поступления документов в уполномоченный орган, рассматривает предоставленный перечень документов на соответствие предъявляемым требованиям, согласовывает регистрацию залога железнодорожного подвижного состава, выдачу дубликата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железнодорожном транспорте вносит в книгу регистрации соответствующие записи, оформляет свидетельство, дубликат свидетельства, регистрирует его в Государственном реестре регистрации залога железнодорожного подвижного состава в течении одного рабочего дня;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начальник уполномоченного органа (его филиала), либо его заместители в течении одного рабочего дня подписывают свидетельство, дубликат свидетельства;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8) сотрудник канцелярии уполномоченного органа (его филиала) направляет результат оказания государственной услуги через курьера в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9) работник ЦОН выдает результат государственной услуги получателю государственной услуги.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Минимальное количество лиц, осуществляющих прием документов для оказания государственной услуги в ЦОН, составляет один человек.</w:t>
      </w:r>
    </w:p>
    <w:bookmarkEnd w:id="6"/>
    <w:bookmarkStart w:name="z5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ЦОН прием документов осуществляются в операционном зале посредством «безбарьерного обслуживания», на которых указываются фамилия, имя, отчество и должность работника ЦОН.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 приеме документов в ЦОН получателю государственной услуги выдается расписка о приеме соответствующих документов с указанием: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номера и даты приема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вида запрашиваемой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количества и названий приложенных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даты (время) и места выдачи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работника ЦОН, принявшего заявление на оформление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фамилии, имени, отчества получателя государственной услуги, фамилии, имени, отчества уполномоченного представителя, и их контактные телефоны.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В процессе оказания государственной услуги задействованы следующие СФЕ: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работник накопительного отдела ЦОН;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сотрудник канцелярии уполномоченного органа (его филиала);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органа, либо его заместители;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начальник отдела контроля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специалист отдела контроля на железнодорожном транспорте;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7) курьер.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 Текстовое табличное описание последовательности и взаимодействие административных действий (процедур) каждой СФЕ с указанием срока выполнения каждого административного действия (процедуры)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Схема взаимодействия между логической последовательностью административных действий в процессе оказания государственной услуги и СФЕ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7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состава»</w:t>
      </w:r>
    </w:p>
    <w:bookmarkEnd w:id="9"/>
    <w:bookmarkStart w:name="z7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1. Описание действий СФЕ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9"/>
        <w:gridCol w:w="1267"/>
        <w:gridCol w:w="2534"/>
        <w:gridCol w:w="2534"/>
        <w:gridCol w:w="1774"/>
        <w:gridCol w:w="1901"/>
        <w:gridCol w:w="1775"/>
      </w:tblGrid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Действия основного процесса 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действия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(его филиала)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его заместители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железнодорожном транспорте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регистрацию залога железнодорожного подвижного состава; выдачу дубликата свидетельства, регистрация заявления в журнале регистрации; отправка заявления и полного перечня документов в уполномоченный орган.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Прием заявления и перечня необходимых документов на регистрацию залога железнодорожного подвижного состава, выдачу дубликата свидетельства,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 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  заявления о регистрации залога железнодорожного подвижного состава, выдаче дубликата свидетельства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требованиям, согласование регистрации залога железнодорожного подвижного состава, выдачи дубликата свидетельства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книгу регистрации соответствующих записей, оформление свидетельства, дубликата свидетельства, регистрация его в Государственном реестре регистрации залогов  железнодорожного подвижного состава.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заявления в журнале регистрации; направление документов в уполномоченный орган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Документы с резолюцией, содержащей сроки исполнения и ответственного исполнителя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Запись в книге регистрации, оформленное свидетельство, дубликата свидетельства,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сведения в Государственном реестре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минут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рабочего дня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 рабочего дня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рабочего дня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1/2 рабочего дня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и их описание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 получателю государственной услуги.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оказания государственной услуги  в ЦОН через курьера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результата оказания государственной услуги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завершения 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Свидетельство, дубликат свидетельства либо мотивированный ответ об отказе на бумажном носителе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Подписанное свидетельство, дубликат свидетельства либо мотивированный ответ об отказе на бумажном носителе 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3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минут</w:t>
            </w:r>
          </w:p>
        </w:tc>
        <w:tc>
          <w:tcPr>
            <w:tcW w:w="2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рабочего дня</w:t>
            </w:r>
          </w:p>
        </w:tc>
        <w:tc>
          <w:tcPr>
            <w:tcW w:w="1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1/4 рабочего дня</w:t>
            </w:r>
          </w:p>
        </w:tc>
        <w:tc>
          <w:tcPr>
            <w:tcW w:w="1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Таблица 2. Варианты использования. Основной процесс.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26"/>
        <w:gridCol w:w="3398"/>
        <w:gridCol w:w="2670"/>
        <w:gridCol w:w="3201"/>
        <w:gridCol w:w="298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Основной процесс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 (его филиала)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Руководитель уполномоченного органа, либо его заместители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железнодорожном транспорте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регистрацию залога железнодорожного подвижного состава; регистрация заявления в журнале регистрации; отправка заявления и полного перечня документов в уполномоченный орган.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заявления и перечня необходимых документов на регистрацию залога железнодорожного подвижного состава, выдачу дубликата свидетельства, регистрация заявление в журнале регистрации, при этом в правом нижнем углу заявления проставляется регистрационный штамп на государственном языке с указанием даты поступления и входящего номера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  заявления о регистрации залога железнодорожного подвижного состава, выдаче дубликата свидетельства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предоставленного перечня документов на соответствие предъявляемым требованиям, согласование регистрации залога железнодорожного подвижного состава, выдачи дубликата свидетельства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в книгу регистрации соответствующих записей, оформление свидетельства, дубликата свидетельства, регистрация его в Государственном реестре  регистрации залогов железнодорожного подвижного состава.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результата государственной услуги получателю государственной услуги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Передача результата государственной услуги в ЦОН через курьера</w:t>
            </w:r>
          </w:p>
        </w:tc>
        <w:tc>
          <w:tcPr>
            <w:tcW w:w="2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Подписание результата государственной услуги </w:t>
            </w:r>
          </w:p>
        </w:tc>
        <w:tc>
          <w:tcPr>
            <w:tcW w:w="3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регламенту государственной услуги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«Регистрация залога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железнодорожного подвижного состава»</w:t>
      </w:r>
    </w:p>
    <w:bookmarkEnd w:id="12"/>
    <w:bookmarkStart w:name="z7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Диаграмма функционального взаимодействия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2"/>
        <w:gridCol w:w="3602"/>
        <w:gridCol w:w="3004"/>
        <w:gridCol w:w="3004"/>
        <w:gridCol w:w="339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Процесс оказания государственной услуги</w:t>
            </w:r>
          </w:p>
        </w:tc>
      </w:tr>
      <w:tr>
        <w:trPr>
          <w:trHeight w:val="30" w:hRule="atLeast"/>
        </w:trPr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ЦОН</w:t>
            </w:r>
          </w:p>
        </w:tc>
        <w:tc>
          <w:tcPr>
            <w:tcW w:w="36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Канцелярия уполномоченного органа (филиала МИТК)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органа, либо его заместители</w:t>
            </w:r>
          </w:p>
        </w:tc>
        <w:tc>
          <w:tcPr>
            <w:tcW w:w="30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отдела контроля на железнодорожном транспорте</w:t>
            </w:r>
          </w:p>
        </w:tc>
        <w:tc>
          <w:tcPr>
            <w:tcW w:w="33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отдела контроля на железнодорожном транспорте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drawing>
          <wp:inline distT="0" distB="0" distL="0" distR="0">
            <wp:extent cx="9931400" cy="6807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931400" cy="680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