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16e2" w14:textId="3a41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по проверкам за системой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5 ноября 2012 года № 492. Зарегистрирован в Министерстве юстиции Республики Казахстан 7 декабря 2012 года № 8136. Утратил силу приказом Министра образования и науки Республики Казахстан от 4 августа 2015 года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04.08.2015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по проверкам за системой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по проверкам за системой начального, основного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по проверкам за системой общего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по проверкам за системой технического и профессионального, послесреднего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по проверкам за системой высшего и послевузовского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 С. Шаяхметов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492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по проверкам за системой образования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по проверкам за системой образования (далее - Критерии) разработаны для проведения плановых проверок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снижения качества предоставляемых образовательных услуг организациями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контроля – государственные организации образования, осуществляющие образовательную деятельность по уровням образования: начальное, основное среднее, среднее (общее среднее, техническое и профессиональное), послесреднее, высшее,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весовой коэффициент – коэффициент, задаваемый в зависимости от качественного показателя критерия для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и его территориальные органы распределяют проверяемые субъекты контроля по степеням риска с учетом набранных баллов, на основе сведений об их деятельности и (или) результатов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оценки степени риска государственных организаций образования используются критерии,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Бальное значение і-го критерия Пі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Пі = Ді х Кij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Ді - доля i-того критерия от их общего показателя (в баллах),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Кij - весовой коэффициент для i-того критерия, где Кij = 0,1; 0,5; 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(при j = 1; 2; 3;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Суммарный показатель Pk для оценки уровня рисков k-той организации образования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Рk = </w:t>
      </w:r>
      <w:r>
        <w:drawing>
          <wp:inline distT="0" distB="0" distL="0" distR="0">
            <wp:extent cx="304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Пі = </w:t>
      </w:r>
      <w:r>
        <w:drawing>
          <wp:inline distT="0" distB="0" distL="0" distR="0">
            <wp:extent cx="304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(Ді х Кij)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составляет 100 баллов, минимальный —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суммарному показателю Pk определяется степень риска для k-той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Отнесение проверяемых субъектов контроля по степеням рисков для каждого уровня образования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проверкам за системой образования  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государственных организаций образования,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образовательную деятельность начального,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276"/>
        <w:gridCol w:w="2288"/>
        <w:gridCol w:w="4026"/>
        <w:gridCol w:w="2843"/>
      </w:tblGrid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степени риска, (Пі)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менее 30 % требований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более 30 % требований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категорий, (П2)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 менее 50 %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(П4)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обучения, (П5)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(П6)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проверкам за системой образования   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государственных организаций образования,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образовательную деятельность общего среднего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703"/>
        <w:gridCol w:w="2396"/>
        <w:gridCol w:w="4272"/>
        <w:gridCol w:w="3072"/>
      </w:tblGrid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степени риска, (Пі)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учителей высшей и первой категорий, (П2)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обучения, (П3)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(П4)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(П5)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питания, (П6)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учебных предметных кабинетов, оснащенных современным оборудованием (средства связи и коммуникации, сетевого взаимодействия, широкополосный интернет, мультимедийные кабинеты, интерактивную доску, аудио- и видеотехнику, цеха и мастерские) (П7)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и соответствуют требованиям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Имеются, однако несоблюдены менее 30 % требований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проверкам за системой образования  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государственных организаций образования,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образовательную деятельность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
послесреднего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724"/>
        <w:gridCol w:w="2353"/>
        <w:gridCol w:w="4293"/>
        <w:gridCol w:w="3093"/>
      </w:tblGrid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степени риска (Пі)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количества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преподавателей высшей и первой категории и (или) магистров, преподавателей с учеными степенями и званиями от их общего числа, (П2)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(П3)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4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литературы, (П4)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деятельности организаций образования (по уровням образования),(П5)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правила приема на обучение в организации образования (по уровням образования), (П6)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обучающегося уровню расходов, (П7)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100 % и выше от установленной нормы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 пределах 91-99 % от установленной нормы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 установленной нормы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производственного обучения на производстве, (П8)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предприятиями по производственной практике по всем специальностям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30 % всех специальностей обеспечены договорами с предприятиями по производственной практике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договора с предприятиями по производственной практике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(П9)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(П10)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кабинетов, оснащенных учебно-лабораторным оборудованием (П11)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компьютерных классов, подключенных к сети Интернет (П12)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проверкам за системой образования   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государственных организаций образования,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образовательную деятельность высшего и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563"/>
        <w:gridCol w:w="2342"/>
        <w:gridCol w:w="4295"/>
        <w:gridCol w:w="3015"/>
      </w:tblGrid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степени риска (Пі)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і-го критерия в баллах, Ді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Качественные показатели для определения весового коэффициента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Весовой коэффициент, Кіj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планам, (П1)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 количества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их остепененность по циклам профильных дисциплин, (П2)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по 1-му показателю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по обоим показателям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(П3)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более 30 % от его общего количества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или не соответствует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 (для организаций образования, осуществляющих образовательную деятельность высшего образования), (П4)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 менее 50 %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квалификационным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(магистранта) уровню расходов, (П5)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соответствуют 100 % и выше от нормы, установленной постановлением Правительства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обучение в пределах 90-99 % от нормы, установленной постановлением Правительства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 нормы, установленной постановлением Правительства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 (по уровням образования), (П6)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приема на обучение в организации образования (по уровням образования), (П7)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перевода и восстановления обучающихся (по уровням образования), (П8)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 требований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58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работ с организациями и предприятиями, кроме военных специальностей, (П9)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по всем специальностям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Обеспечены договорами менее 30 % всех специальностей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договора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(в расчете на преподавателя) государственному общеобязательному стандарту образования (для организаций образования, осуществляющих образовательную деятельность высшего образования), (П10)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квалификационным требованиям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 менее 30 %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1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(П11)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предприятиями по всем специальностям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Обеспечены договорами с предприятиями менее 30 % всех специальностей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договора с предприятиями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3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обучающихся, (П12)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3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обучающихся, (П13)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52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- для военных специальностей (для организаций образования, осуществляющих образовательную деятельность послевузовского образования), (П14)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и соответствует требованию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Имеется, но не состоит в штате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проверкам за системой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            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степени риска для каждого уровня для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организаций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564"/>
        <w:gridCol w:w="8890"/>
      </w:tblGrid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Отнесение к степеням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Рk, баллы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Вузы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баллов (33,3 %)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41-70 баллов (33,3 %)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71-100 баллов (33,3 %)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Колледжи и профессиональные лицеи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баллов (11,1 %)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 баллов (22,2 %)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41-100 баллов (66,7 %)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Школы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высокой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10-20 баллов (12,2 %);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10-30 баллов (22,3 %)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средней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21-35 баллов (16,6 %);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31-50 баллов (22,2 %)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незначительной степени риска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школ: 36-100 баллов (72,2 %);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школ: 51-100 баллов (55,5 %).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492  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проверкам за системой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3.Местонахождение организации образования (юридический адрес, 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4.БИН: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 20 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10034"/>
        <w:gridCol w:w="444"/>
        <w:gridCol w:w="487"/>
        <w:gridCol w:w="702"/>
        <w:gridCol w:w="788"/>
        <w:gridCol w:w="939"/>
      </w:tblGrid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учебного процесса по дистанционным образовательным технологиям (для организаций, внедривших дистанционные образовательные технологии),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112 от 19 января 2012 года.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 реализующих образовательные программы среднего общего образования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Соответствие Квалификационным требованиям, предъявляемых к деятельности организаций образования, реализующих общеобразовательные учебные программы начального образования: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20 %;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Соответствие Квалификационным требованиям, предъявляемых к деятельности организаций образования, реализующих общеобразовательные учебные программы основного среднего образования: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30 %;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 ____________       «__»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 ____________       «__»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(Ф.И.О.)                подпись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492   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проверкам</w:t>
      </w:r>
      <w:r>
        <w:br/>
      </w:r>
      <w:r>
        <w:rPr>
          <w:rFonts w:ascii="Times New Roman"/>
          <w:b/>
          <w:i w:val="false"/>
          <w:color w:val="000000"/>
        </w:rPr>
        <w:t>
за системой общего среднего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 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БИН: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 20 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10184"/>
        <w:gridCol w:w="530"/>
        <w:gridCol w:w="637"/>
        <w:gridCol w:w="637"/>
        <w:gridCol w:w="595"/>
        <w:gridCol w:w="811"/>
      </w:tblGrid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учебного процесса по дистанционным образовательным технологиям для организаций, внедривших дистанционные образовательные технологии,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112 от 19 января 2012 года.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образования, реализующих образовательные программы среднего общего образования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требованиям, предъявляемых к деятельности организаций образования, реализующих общеобразовательные учебные программы общего среднего образования: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 и первой категорий от их общего числа - не менее 30 %;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 ____________       «__»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 ____________       «__»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(Ф.И.О.)                подпись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492  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проверкам за системой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профессионального, послесреднего образования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 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БИН: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 20 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9666"/>
        <w:gridCol w:w="572"/>
        <w:gridCol w:w="659"/>
        <w:gridCol w:w="723"/>
        <w:gridCol w:w="810"/>
        <w:gridCol w:w="1004"/>
      </w:tblGrid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 (по уровням образования),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130 от 19 января 2012 г.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учебного процесса по дистанционным образовательным технологиям,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112 от 19 января 2012 года.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 (по уровням образования)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образования, реализующих образовательные программы начального профессионального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Соответствие Квалификационным требованиям, предъявляемых к деятельности организаций образования, реализующих образовательные учебные программы технического и профессионального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учителей высшей и первой категории и (или) магистров от их общего числа - не менее 30 %;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интернет, учебно-лабораторным оборудованием, специальным учебным оборудованием;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Соответствие Квалификационным требованиям, предъявляемых к деятельности организаций образования, реализующих профессиональные учебные программы послесреднего образования:</w:t>
            </w:r>
          </w:p>
        </w:tc>
      </w:tr>
      <w:tr>
        <w:trPr>
          <w:trHeight w:val="69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 - не менее 70 %;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высшей и первой категории и (или) магистров, преподавателей с учеными степенями и званиями от их общего числа - не менее 40 %;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учебно-методической литературы по отношению к контингенту обучающихся на полный цикл обучения в количестве не менее 25 единиц изданий на одного обучающегося и на цифровых носителях - не менее 20 % учебного плана (кроме военных специальностей);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 к сети интернет, учебно-лабораторным оборудованием, специальным учебным оборудованием;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собственных,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 ____________       «__»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 ____________       «__»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(Ф.И.О.)                подпись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492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проверкам</w:t>
      </w:r>
      <w:r>
        <w:br/>
      </w:r>
      <w:r>
        <w:rPr>
          <w:rFonts w:ascii="Times New Roman"/>
          <w:b/>
          <w:i w:val="false"/>
          <w:color w:val="000000"/>
        </w:rPr>
        <w:t>
за системой высшего и послевузовского образования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 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БИН: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«___» _____ 20 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9342"/>
        <w:gridCol w:w="723"/>
        <w:gridCol w:w="680"/>
        <w:gridCol w:w="874"/>
        <w:gridCol w:w="852"/>
        <w:gridCol w:w="983"/>
      </w:tblGrid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образования, реализующих профессиональные учебные программы высшего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111 от 19 января 2012 года.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Типовых правил приема на обучение в организации образования, реализующих профессиональные учебные программы послевузовского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109 от 19 января 2012 года.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перевода и восстановления обучающихся по типам организации образования,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110 от 19 января 2012 года.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предоставления академических отпусков обучающимся в организациях образования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108 от 19 января 2012 года.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организации учебного процесса по дистанционным образовательным технологиям,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112 от 19 января 2012 года.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образования, реализующих профессиональные учебные программы высшего образования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Типовых правил деятельности организаций образования, реализующих образовательные программы послевузовского профессионального образования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Соответствие Квалификационным требованиям, предъявляемым к образовательной деятельности духовных (религиозных) организаций образования:</w:t>
            </w:r>
          </w:p>
        </w:tc>
      </w:tr>
      <w:tr>
        <w:trPr>
          <w:trHeight w:val="22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штатных преподавателей, имеющих высшее духовное образование по профилю подготовки и соответствующих требованиям, предъявляемым религиозными объединениями;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литературы, прошедшей религиоведческую экспертизу, по отношению к контингенту обучающихся на полный цикл обучения в количестве не менее 50 единиц изданий на одного обучающегося и на цифровых носителях - не менее 20 % учебного плана;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либо, принадлежащих на праве хозяйственного ведения или оперативного управления, учебно-материальных активов;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классами, подключенными к сети интернет;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ходатайства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копии свидетельства о регистрации религиозного объединения на территории Республики Казахстан;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образовательных программ и учебных планов по профилю подготовки, утвержденных руководством религиозного объединения;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экспертного заключения Агентства Республики Казахстан по делам религий на заявленные религиозные образовательные программы.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Соответствие Квалификационным требованиям, предъявляемым к деятельности организаций образования, реализующих профессиональные учебные программы высшего образования с присуждением академической степени «бакалавр»:</w:t>
            </w:r>
          </w:p>
        </w:tc>
      </w:tr>
      <w:tr>
        <w:trPr>
          <w:trHeight w:val="22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проведение научно-исследовательской и педагогической деятельности, повышение квалификации и переподготовка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педагогическая деятельность, повышение квалификации и переподготовка кадров;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контингента студентов в расчете на одного преподавателя государственному общеобязательному стандарту образования;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университетов, национальных вузов, университетов, академий - не менее 80 %;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(консерваторий, высших школ, высших училищ)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не менее 80 % вне зависимости от вида организации образования;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исследовательских университетов, исследовательских университетов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национальных вузов (кроме организаций образования искусства и культуры) - не менее 55 %;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университетов, академий -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институтов (высших школ, высших училищ) - не менее 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институтов - не менее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искусства и культуры доля преподавателей с учеными степенями, а также почетными званиями, приравненными к ним - не менее 35 %;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 в воинском (специальном) звании не ниже полковника, имеющих звание «мастер спорта» и выше, - не менее 40 %;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 должен содержать основную учебную литературу по дисциплинам социально-гуманитарного профиля, изданную за последние 5 лет; по естественным, техническим, сельскохозяйственным дисциплинам - за последние 10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учебной литературой на цифровых носителях - не менее 40 % базовых и профилирующих дисциплин учебного плана специальности (кроме военных специальностей).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другими библиотечными и научными фондами, в том числе с республиканской межвузовской электронной библиотекой;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профессиональных учебных программ;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 в каждом учебном корпусе;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Соответствие Квалификационным требованиям, предъявляемым к деятельности организаций образования и научных организаций, реализующих профессиональные учебные программы послевузовского образования с присуждением академической степени «магистр»:</w:t>
            </w:r>
          </w:p>
        </w:tc>
      </w:tr>
      <w:tr>
        <w:trPr>
          <w:trHeight w:val="25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высшего образования; для педагогических специальностей - проведение научно-исследовательской работы в области современных педагогических технологий обучения;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специальности подготовки магистрантов темам научных исследований организации образования;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педагогических специальностей - наличие прямых договоров с зарубежными университетами по выполнению совместных образовательных и научных проектов, стажировок преподавателей и магистрантов;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для военных специальностей;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 культуры и искусства, в том числе преподаватели с почетными званиями Республики Казахстан и приравненные к ним, – не менее 60 %: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 доля преподавателей с учеными степенями и званиями, в воинском (специальном) звании не ниже полковника, - не менее 60 %;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научного руководства магистрантами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изданиях, учебные пособия по специальности магистерской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либо,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учебно-лабораторным оборудованием, необходимым для реализации образовательных программ и отвечающим современным требованиям;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 Соответствие Квалификационным требованиям, предъявляемым к деятельности организаций образования и научных организаций, реализующих профессиональные учебные программы послевузовского медицинского образования (резидентуры):</w:t>
            </w:r>
          </w:p>
        </w:tc>
      </w:tr>
      <w:tr>
        <w:trPr>
          <w:trHeight w:val="28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двух специалистов с учеными степенями по профилю подготовки, состоящих в штате и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научно-методической, клинической, материально-технической базы по соответствующим научным специальностям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 (за исключением научных организаций);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 Соответствие Квалификационным требованиям, предъявляемым к деятельности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академия), а также организаций образования, реализующих профессиональные учебные программы послевузовского военного образования с присуждением ученой степени доктора философии (PhD) и доктора по профилю (адъюнктура):</w:t>
            </w:r>
          </w:p>
        </w:tc>
      </w:tr>
      <w:tr>
        <w:trPr>
          <w:trHeight w:val="7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штатного доктора наук по каждой научной специальности подготовки,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званиями, в воинском (специальном) звании не ниже полковника, от числа штатных преподавателей - не менее 100 %;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межведомственных соглашений, регламентирующих вопросы научного обмена по соответствующей специальности;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необходимым оборудованием, лабораториями, библиотекой;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 Соответствие Квалификационным требованиям, предъявляемым к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ученой степени доктор философии (PhD) и доктор по профилю:</w:t>
            </w:r>
          </w:p>
        </w:tc>
      </w:tr>
      <w:tr>
        <w:trPr>
          <w:trHeight w:val="22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профессиональных учебных программ бакалавриата и магистратуры;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 и званиями от числа штатных преподавателей - не менее 100 %;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зарубежных ученых со степенями доктор философии (PhD) и доктор по профилю по соответствующей специальности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соглашений с зарубежными учеными по соответствующей специальности;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 проведение научно-исследовательских и опытно-конструкторских работ с организациями и предприятиями;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рабочих учебных планов типовым учебным планам;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организациями, определенными в качестве баз практики, в том числе на прохождение зарубежной научной стажировки;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объекта питания для обучающихся;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—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 ____________       «__»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 ____________       «__»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(Ф.И.О.)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