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f119d" w14:textId="d6f119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совместный приказ Министра охраны окружающей среды Республики Казахстан от 31 августа 2011 года № 232-ө и и.о. Министра экономического развития и торговли Республики Казахстан от 16 сентября 2011 года № 293 "Об утверждении формы проверочного листа в сфере частного предпринимательства в области охраны окружающей среды, воспроизводства и использования природных ресурсов"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охраны окружающей среды Республики Казахстан от 29 октября 2012 года № 315-ө и Министра экономического развития и торговли Республики Казахстан от 31 октября 2012 года № 300. Зарегистрирован в Министерстве юстиции Республики Казахстан 4 декабря 2012 года № 8122. Утратил силу совместным приказом Министра энергетики Республики Казахстан от 24 июня 2015 года № 431 и и.о. Министра национальной экономики Республики Казахстан от 30 июня 2015 года № 474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совместным приказом Министра энергетики РК от 24.06.2015 </w:t>
      </w:r>
      <w:r>
        <w:rPr>
          <w:rFonts w:ascii="Times New Roman"/>
          <w:b w:val="false"/>
          <w:i w:val="false"/>
          <w:color w:val="ff0000"/>
          <w:sz w:val="28"/>
        </w:rPr>
        <w:t>№ 431</w:t>
      </w:r>
      <w:r>
        <w:rPr>
          <w:rFonts w:ascii="Times New Roman"/>
          <w:b w:val="false"/>
          <w:i w:val="false"/>
          <w:color w:val="ff0000"/>
          <w:sz w:val="28"/>
        </w:rPr>
        <w:t xml:space="preserve"> и и.о. Министра национальной экономики РК от 30.06.2015 № 474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 и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 Республики Казахстан от 6 января 2011 года «О государственном контроле и надзоре в Республике Казахстан» и </w:t>
      </w:r>
      <w:r>
        <w:rPr>
          <w:rFonts w:ascii="Times New Roman"/>
          <w:b/>
          <w:i w:val="false"/>
          <w:color w:val="000000"/>
          <w:sz w:val="28"/>
        </w:rPr>
        <w:t>ПРИКАЗЫВАЕМ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совместный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31 августа 2011 года № 232-ө и и.о. Министра экономического развития и торговли Республики Казахстан от 16 сентября 2011 года № 293 «Об утверждении формы проверочного листа в сфере частного предпринимательства в области охраны окружающей среды, воспроизводства и использования природных ресурсов» (зарегистрированный в Реестре государственной регистрации нормативных правовых актов под № 7222, опубликованный в газете «Казахстанская правда» от 22 октября 2011 года № 37-338 (26728-26729))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проверочного листа в сфере частного предпринимательства в области охраны окружающей среды, воспроизводства и использования природных ресурсов, утвержденного указанным совместным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Природопользователь информирует уполномоченный орган в области охраны окружающей среды о происшедших авариях с выбросом и сбросом загрязняющих веществ в окружающую среду в течение двух часов с момента их обнаружения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38,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Захоронение пирофорных отложений, шлама и керна в целях исключения возможности загорания или отравления людей производится согласно проекту и по согласованию с уполномоченным органом в области охраны окружающей среды, государственным органом санитарно-эпидемиологической службы и местными исполнительными органами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46,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нормативов предельно допустимых вредных воздействий на подземные водные объекты, установленных уполномоченным государственным органом в области использования и охраны водного фонда по согласованию с уполномоченными государственными органами в области охраны окружающей среды, по изучению и использованию недр, государственным органом в области санитарно-эпидемиологического благополучия населения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57-1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недропользователем в порядке, установленном законодательством Республики Казахстан, регулирующими устройствами, консервации или ликвидации гидрогеологических скважин, в том числе самоизливающихся и разведочных, а также скважин, не пригодных к эксплуатации или использование которых прекращено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61,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Природопользователи соблюдают нормативы предельно допустимых вредных воздействий на подземные водные объекты, установленные уполномоченным органом в области использования и охраны водного фонда по согласованию с уполномоченными органами в области охраны окружающей среды, по изучению и использованию недр, государственным органом санитарно-эпидемиологической службы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реконструкция, эксплуатация, консервация, ликвидация предприятий и других сооружений, влияющих на состояние водных объектов, при наличии положительных заключений уполномоченных государственных органов в области охраны окружающей среды, использования и охраны водного фонда и государственного органа санитарно-эпидемиологической службы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84,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Буровая платформа (баржа) и обслуживающие ее суда оборудуются установкой для очистки и обеззараживания сточных вод или для сбора, хранения и последующей передачи сточных вод на специализированные суда или береговые приемные устройства. Для сбора или обработки мусора (измельчения или прессования) предусматриваются соответствующие устройства. На буровых платформах (баржах) не осуществляется сжигание мусора.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85,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любых видов строительных и иных работ без использования взрывных работ в толще воды и на морском дне. Взрывные работы под морским дном осуществляются по разрешению уполномоченных государственных органов в области охраны окружающей среды, использования и охраны водного фонда и по изучению и использованию недр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92-1,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92-1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абсорбентов и материалов, необходимых для ограждения и сбора последствий разливов при проведении нефтяных операций на море, на каждом морском сооружении и на каждом судне, на которых осуществляется перевозка нефти и нефтесодержащих грузов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97-1,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97-1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недропользователем мониторинга производственного процесса путем наблюдения и замеров на устьях скважин согласно правилам организации и проведения производственного экологического мониторинга при проведении нефтяных операций в казахстанском секторе Каспийского моря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оборудования и аппаратуры, а также судов, ранее работавших в иных водных бассейнах с проведением экологического обследования и государственной санитарно-эпидемиологической экспертизы во избежание случайной интродукции в Каспийское море объектов животного и растительного мира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Перевозка сыпучих материалов, химических реагентов и опасных грузов осуществляется в закрытых контейнерах и специальных емкостях, исключающих их попадание в окружающую среду, в соответствии с требованиями законодательства Республики Казахстан о торговом мореплавании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107,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ежегодного (по четырем климатическим сезонам) производственного мониторинга окружающей среды по всей контрактной территории недропользователем, осуществляющим хозяйственную деятельность в государственной заповедной зоне в северной части Каспийского моря, начиная со стадии планирования и дальнейшего осуществления производственной деятельности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115-116,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10693"/>
        <w:gridCol w:w="11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мест временного хранения отходов, предназначенных для безопасного хранения отходов в срок не более трех лет до их восстановления или переработки или не более одного года до их захоронения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собственником отходов программы управления отходами с целью постепенного сокращения их объемов, в случаях, предусмотренных Экологическим кодексом Республики Казахстан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117-1, 117-2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0962"/>
        <w:gridCol w:w="87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117-1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программы управления отходами для лиц, осуществляющих утилизацию и переработку отходов или иные способы уменьшения их объемов и опасных свойств, а также осуществляющих деятельность, связанную с размещением отходов производства и потребления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117-2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согласования программы управления отходами с уполномоченным органом в области охраны окружающей среды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119,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0962"/>
        <w:gridCol w:w="87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Физические и юридические лица при эксплуатации предприятий, зданий, строений, сооружений и иных объектов, связанных с обращением с отходами: 1) разрабатывают проекты нормативов размещения отходов, предусматривающие меры по их сокращению путем переработки, утилизации, обезвреживания и безопасного удаления либо передачи физическим и юридическим лицам, осуществляющим эти мероприятия; 2) внедряют малоотходные технологии и организационные меры по снижению образования отходов на основе новейших научно-технических достижений; 3) проводят инвентаризацию отходов и объектов их размещения; 4) проводят мониторинг состояния окружающей среды на территориях объектов размещения отходов; 5) предоставляют в порядке, установленном законодательством Республики Казахстан, информацию, связанную с обращением с отходами; 6) соблюдают требования по предупреждению аварий, связанных с обращением с отходами, и принимают неотложные меры по их ликвидации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127-1, 127-2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0962"/>
        <w:gridCol w:w="87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127-1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 средствами защиты, обеспечивающими предотвращение влияния стойких органических загрязнителей на окружающую среду и здоровье населения пунктов хранения отходов, содержащих стойкие органические загрязнители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127-2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в журналах строгой отчетности учета отходов, содержащих стойкие органические загрязнители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137, 157, 158, 159, 164, 179 и 183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136,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0962"/>
        <w:gridCol w:w="87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 размещения и строительства полигонов отходов подлежат государственным экологической и санитарно-эпидемиологической экспертизам в порядке, установленном Экологическим кодексом Республики Казахстан (далее – Кодекс) и иными нормативными правовыми актами Республики Казахстан.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0962"/>
        <w:gridCol w:w="875"/>
      </w:tblGrid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газового мониторинга для каждой секции полигона твердых бытовых отходов в соответствии с методикой по проведению газового мониторинга для каждой секции полигона твердых бытовых отходов</w:t>
            </w:r>
          </w:p>
        </w:tc>
        <w:tc>
          <w:tcPr>
            <w:tcW w:w="8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165-170,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693"/>
        <w:gridCol w:w="89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контроля юридическими лицами, имеющими источники выбросов озоноразрушающих веществ в атмосферу путем проведения ежегодной инвентаризации выбросов озоноразрушающих веществ в соответствии с правилами инвентаризации выбросов парниковых газов и озоноразрушающих веществ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Представление в уполномоченный орган в области охраны окружающей среды сведений об организации экологических служб и о лицах, ответственных за проведение производственного контроля за озоноразрушающими веществами, а также результаты инвентаризации озоноразрушающих веществ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Наличие лицензии на выполнение работ и оказание услуг в области охраны окружающей среды деятельности физических и юридических лиц по природоохранному проектированию, нормированию и экологическому аудиту для I категории хозяйственной и иной деятельности в соответствии со статьей 40 Кодекса 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предпроектную и проектную документацию намечаемой деятельности, оказывающей воздействие на окружающую среду, с сопровождающими ее материалами оценки воздействия на окружающую среду в соответствии со стадиями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проекты государственных, отраслевых и региональных программ с сопровождающими их материалами оценки воздействия на окружающую среду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проекты контрактов на проведение операций по недропользованию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173,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693"/>
        <w:gridCol w:w="8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биологическое обоснование на добычу и использование ресурсов растительного и животного мира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176-178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693"/>
        <w:gridCol w:w="8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материалы обследования территорий, обосновывающие отнесение этих территорий к зонам экологического бедствия или чрезвычайной экологической ситуации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проекты хозяйственной деятельности, которая может оказывать воздействие на окружающую среду сопредельных государств или для осуществления которой необходимо использование общих с сопредельными государствами природных объектов либо которая затрагивает интересы сопредельных государств, в том числе по комплексу «Байконур», определенные международными договорами Республики Казахстан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заключения экологической экспертизы на документацию по применению технологий, техники, за исключением транспортных средств, и оборудования, перемещаемых (ввозимых) в Республику Казахстан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186,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3"/>
        <w:gridCol w:w="10693"/>
        <w:gridCol w:w="853"/>
      </w:tblGrid>
      <w:tr>
        <w:trPr>
          <w:trHeight w:val="30" w:hRule="atLeast"/>
        </w:trPr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  <w:tc>
          <w:tcPr>
            <w:tcW w:w="10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производственного мониторинга окружающей среды производственными или независимыми лабораториями, аккредитованными в порядке, установленном законодательством Республики Казахстан о техническом регулировании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экологического законодательства и правового обеспечения Министерства охраны окружающей среды Республики Казахстан (Акрачкова Д. В.)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совместного приказа в средствах массовой информации после его государственной регистрации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опубликование настоящего совместного приказа на официальном Интернет-ресурсе Министерства охраны окружающей среды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вице-министра охраны и окружающей среды Республики Казахстан Абдишева Б.Т.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со дня его первого официального опубликования. 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00"/>
        <w:gridCol w:w="6380"/>
      </w:tblGrid>
      <w:tr>
        <w:trPr>
          <w:trHeight w:val="30" w:hRule="atLeast"/>
        </w:trPr>
        <w:tc>
          <w:tcPr>
            <w:tcW w:w="6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 _______________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 ________________</w:t>
            </w:r>
          </w:p>
        </w:tc>
      </w:tr>
      <w:tr>
        <w:trPr>
          <w:trHeight w:val="30" w:hRule="atLeast"/>
        </w:trPr>
        <w:tc>
          <w:tcPr>
            <w:tcW w:w="64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 2012 года</w:t>
            </w:r>
          </w:p>
        </w:tc>
        <w:tc>
          <w:tcPr>
            <w:tcW w:w="63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«___» _________ 2012 года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