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7614" w14:textId="da07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30 декабря 2008 года № 644 "Об утверждении Правил составления и представления бюджетной отчетности уполномоченными органами по исполнению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октября 2012 года № 473. Зарегистрирован в Министерстве юстиции Республики Казахстан 23 ноября 2012 года № 8090. Утратил силу приказом Заместителя Премьер-Министра Республики Казахстан - Министра финансов Республики Казахстан от 31 июля 2014 года № 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Заместителя Премьер-Министра РК - Министра финансов РК от 31.07.2014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644 «Об утверждении Правил составления и представления бюджетной отчетности уполномоченными органами по исполнению бюджета» (зарегистрированный в Реестре государственной регистрации нормативных правовых актов за № 5489)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бюджетной отчетности уполномоченными органами по исполнению бюджета,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«80. Оперативный отчет о кредиторской задолженности представляется ежемесячно: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ведомством не позднее 20 числа месяца, следующего за отчетным, в виде электронной базы данных, а также в виде сопроводительного письма, оформленного в соответствии с требованиями Единой системы электронного документооборота (далее - ЕСЭДО), с вложением в электронном виде отчетных данных по форме КЗ-Б и КЗ-П и информации о причинах образования кредиторской задолженности, образовавшейся за счет бюджетных и прочих средств, согласно приложениям 16 и 16-1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причинах образования задолженности включает объяснение причин образования задолженности по каждой бюджетной программе (подпрограмме);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местными уполномоченными органами области, города республиканского значения, столицы по исполнению бюджета – центральному уполномоченному органу по исполнению бюджета не позднее 20 числа месяца, следующего за отчетным, в виде электронной базы данных с последующим, до конца месяца, следующего за отчетным, подтверждением отчетных данных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ежемесячному отчету о кредиторской задолженности по формам КЗ-Б и КЗ-П на бумажном носителе прилагается информация о причинах образования кредиторской задолженности, образовавшейся за счет бюджетных и прочих средств, согласно приложениям 16 и 16-1 соответственно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причинах образования задолженности включает объяснение причин образования задолженности по каждой бюджетной программе (подпрограмме).»;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«83. Ведомство и местные уполномоченные органы области, города республиканского значения, столицы по исполнению бюджета уточненные отчеты за полугодие и за 9 месяцев представляют в соответствующее структурное подразделение центрального уполномоченного органа по исполнению бюджета, не позднее 20 числа второго месяца, следующего за отчетным периодом, за истекший финансовый год - не позднее 1 числа третьего месяца, следующего за отчетным финансовым годом.»;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«84. Уточненные отчеты о кредиторской задолженности направляются в виде электронной базы данных и на бумажном носителе сопроводительным письмом, составленном на официальном бланке за подписью руководителя и указанием сведений об исполнителе.»;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«93. Оперативный отчет о дебиторской задолженности представляется ежемесячно: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ведомством не позднее 20 числа месяца, следующего за отчетным, в виде электронной базы данных, а также в виде сопроводительного письма, оформленного в соответствии с требованиями ЕСЭДО, с вложением в электронном виде отчетных данных по форме ДЗ-Б и ДЗ-П и информации о причинах образования дебиторской задолженности, образовавшейся за счет бюджетных и прочих средств, согласно приложениям 16-1 и 16-2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причинах образования задолженности включает объяснение причин образования задолженности по каждой бюджетной программе (подпрограмме).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местными уполномоченными органами области, города республиканского значения, столицы по исполнению бюджета – центральному уполномоченному органу по исполнению бюджета не позднее 20 числа месяца, следующего за отчетным, в виде электронной базы данных с последующим, до конца месяца, следующего за отчетным, подтверждением отчетных данных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ежемесячному отчету о дебиторской задолженности по формам ДЗ-Б и ДЗ-П на бумажном носителе прилагается информация о причинах образования кредиторской задолженности, образовавшейся за счет бюджетных и прочих средств,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16-2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причинах образования задолженности включает объяснение причин образования задолженности по каждой бюджетной программе (подпрограмме).»;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«96. Ведомство и местные уполномоченные органы области, города республиканского значения, столицы по исполнению бюджета уточненные отчеты за полугодие и за 9 месяцев представляют в соответствующее структурное подразделение центрального уполномоченного органа по исполнению бюджета не позднее 20 числа второго месяца, следующего за отчетным периодом, за истекший финансовый год – не позднее 1 числа третьего месяца, следующего за отчетным финансовым годом.»;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«97. Уточненные отчеты о дебиторской задолженности направляются в виде электронной базы данных и на бумажном носителе сопроводительным письмом, составленном на официальном бланке за подписью руководителя и указанием сведений об исполнителе.»;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16-2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бюджетных процедур (Калиева А.Н.)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регистрации, за исключением абзацев одиннадцатого, двенадцатого, пятнадцатого, двадцать четвертого, двадцать пятого, двадцать восьмого, тридцать первого пункта 1 настоящего приказа, которые вводятся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октября 2012 года № 473</w:t>
      </w:r>
    </w:p>
    <w:bookmarkEnd w:id="1"/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и представления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бюджетной отчетности уполномоченными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 по исполнению бюджета    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Информация о причинах образования кредиторской задолженности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_____________________________________ </w:t>
      </w:r>
      <w:r>
        <w:rPr>
          <w:rFonts w:ascii="Times New Roman"/>
          <w:b/>
          <w:i w:val="false"/>
          <w:color w:val="000000"/>
          <w:sz w:val="28"/>
        </w:rPr>
        <w:t>за счет бюджетных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 (наименование бюджета)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по состоянию на __________________________ 201___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Вид бюджета</w:t>
      </w:r>
      <w:r>
        <w:rPr>
          <w:rFonts w:ascii="Times New Roman"/>
          <w:b w:val="false"/>
          <w:i w:val="false"/>
          <w:color w:val="000000"/>
          <w:sz w:val="28"/>
        </w:rPr>
        <w:t>          -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Периодичность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- месячная, квартальная, годовая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Единица измерения</w:t>
      </w:r>
      <w:r>
        <w:rPr>
          <w:rFonts w:ascii="Times New Roman"/>
          <w:b w:val="false"/>
          <w:i w:val="false"/>
          <w:color w:val="000000"/>
          <w:sz w:val="28"/>
        </w:rPr>
        <w:t>    -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440"/>
        <w:gridCol w:w="458"/>
        <w:gridCol w:w="785"/>
        <w:gridCol w:w="906"/>
        <w:gridCol w:w="717"/>
        <w:gridCol w:w="1125"/>
        <w:gridCol w:w="1164"/>
        <w:gridCol w:w="1130"/>
        <w:gridCol w:w="1166"/>
        <w:gridCol w:w="942"/>
        <w:gridCol w:w="959"/>
        <w:gridCol w:w="1045"/>
        <w:gridCol w:w="1033"/>
        <w:gridCol w:w="753"/>
      </w:tblGrid>
      <w:tr>
        <w:trPr>
          <w:trHeight w:val="270" w:hRule="atLeast"/>
        </w:trPr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ствам,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наступил</w:t>
            </w:r>
          </w:p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пил)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</w:t>
            </w:r>
          </w:p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услуг)</w:t>
            </w:r>
          </w:p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 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рифов</w:t>
            </w:r>
          </w:p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сверок</w:t>
            </w:r>
          </w:p>
        </w:tc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5-гр.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6-гр.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8-гр.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9-гр.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10-гр.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11-гр.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гр.13)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 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ведомства, осуществляющего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государственного бюджета/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местного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исполнению бюджета _____________________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(подпись)    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ведомства,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ответственного за составление отчета 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(подпись)  (расшифровка подписи)</w:t>
      </w:r>
    </w:p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октября 2012 года № 473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16-2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и представления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бюджетной отчетности уполномоченными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 по исполнению бюджета    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Информация о причинах образования дебиторской задолженности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_____________________________________ </w:t>
      </w:r>
      <w:r>
        <w:rPr>
          <w:rFonts w:ascii="Times New Roman"/>
          <w:b/>
          <w:i w:val="false"/>
          <w:color w:val="000000"/>
          <w:sz w:val="28"/>
        </w:rPr>
        <w:t>за счет бюджетных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 (наименование бюджета)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по состоянию на __________________________ 201___ года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Вид бюджета</w:t>
      </w:r>
      <w:r>
        <w:rPr>
          <w:rFonts w:ascii="Times New Roman"/>
          <w:b w:val="false"/>
          <w:i w:val="false"/>
          <w:color w:val="000000"/>
          <w:sz w:val="28"/>
        </w:rPr>
        <w:t>           -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Периодичность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- месячная, квартальная, годовая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Единица измерения    </w:t>
      </w:r>
      <w:r>
        <w:rPr>
          <w:rFonts w:ascii="Times New Roman"/>
          <w:b w:val="false"/>
          <w:i w:val="false"/>
          <w:color w:val="000000"/>
          <w:sz w:val="28"/>
        </w:rPr>
        <w:t>-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22"/>
        <w:gridCol w:w="405"/>
        <w:gridCol w:w="628"/>
        <w:gridCol w:w="730"/>
        <w:gridCol w:w="713"/>
        <w:gridCol w:w="857"/>
        <w:gridCol w:w="851"/>
        <w:gridCol w:w="748"/>
        <w:gridCol w:w="836"/>
        <w:gridCol w:w="836"/>
        <w:gridCol w:w="767"/>
        <w:gridCol w:w="802"/>
        <w:gridCol w:w="665"/>
        <w:gridCol w:w="1912"/>
        <w:gridCol w:w="1555"/>
      </w:tblGrid>
      <w:tr>
        <w:trPr>
          <w:trHeight w:val="225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гр.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гр.6-гр.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 -гр.8-гр.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9-гр.10-гр.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11-гр.12-гр.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13-гр.14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подотчет</w:t>
            </w:r>
          </w:p>
        </w:tc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Задолженность, образовавшаяся в 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обя-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зательств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ведомства, осуществляющего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государственного бюджета/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местного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исполнению бюджета _____________________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(подпись)    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ведомства,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ответственного за составление отчета 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(подпись)  (расшифровка подписи)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