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72cb" w14:textId="f517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услуг, оказываемых Агентством Республики Казахстан по делам спорта и физической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спорта и физической культуры от 2 октября 2012 года № 294. Зарегистрирован в Министерстве юстиции Республики Казахстан 17 ноября 2012 года № 8088. Утратил силу приказом Председателя Агентства Республики Казахстан по делам спорта и физической культуры от 4 марта 2014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спорта и физической культуры от 04.03.2014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«Об информатизации»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электронной государственной услуги «Выдача лицензии, переоформление, выдача дубликатов лицензии для занятия деятельностью казино»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электронной государственной услуги «Выдача лицензии, переоформление, выдача дубликатов лицензии для занятия деятельностью зала игровых автоматов»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электронной государственной услуги «Выдача лицензии, переоформление, выдача дубликатов лицензии для занятия деятельностью букмекерской конторы»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электронной государственной услуги «Выдача лицензии, переоформление, выдача дубликатов лицензии для занятия деятельностью тотализатора»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(Камзебаева Д.У.)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представление настоящего приказа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Пресс-секретарю (Жалялитдинова Г.Б.) обеспечить размещение настоящего приказа на официальном интернет-ресурсе Агентства Республики Казахстан по делам спорта и физической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спорта и физической культуры               А. Пирметов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_______________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и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2012 года № 294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казино»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(далее – услуга) оказывается Агентством Республики Казахстан по делам спорта и физической культуры (далее – услугодатель), через центры обслуживания населения (далее - Центр), а также через веб-портал «электронного правительства» www.e.gov.kz или веб-портал «Е-лицензирование» www.elicense.kz (далее - ПЭП), при условии наличия у потребителя услуги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(далее – Стандарт) «Выдача лицензии, переоформление, выдача дубликатов лицензии для занятия деятельностью казино» утвержденный постановлением Правительства Республики Казахстан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казино - игорное заведение, в котором для организации и проведения азартных игр используются игровые столы;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потребителя регистрационного свидетельства ЭЦП и ввод потребителем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запроса для оказания услуги посредством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оператора Центра через ЦОН (диаграмма № 2)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ИС ГБД «Е-лицензирование»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потребителя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электронной лицензии»;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оплата услуги (либо предоставление документов об оплате);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запроса – пользователь с помощью кнопки «подписать» осуществляет удостоверения (подписания)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ИИН, 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Экранные формы заполнения запроса и ответа на электронную государственную услугу, предоставляемые потребителю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 анкетой для определения показателей электронной государственной услуги: «качество» и «доступность»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6"/>
    <w:bookmarkStart w:name="z9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казино»  </w:t>
      </w:r>
    </w:p>
    <w:bookmarkEnd w:id="7"/>
    <w:bookmarkStart w:name="z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21793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793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ЦОН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1874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2263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казино»  </w:t>
      </w:r>
    </w:p>
    <w:bookmarkEnd w:id="11"/>
    <w:bookmarkStart w:name="z10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1280"/>
        <w:gridCol w:w="1160"/>
        <w:gridCol w:w="1155"/>
        <w:gridCol w:w="1027"/>
        <w:gridCol w:w="1027"/>
        <w:gridCol w:w="905"/>
        <w:gridCol w:w="905"/>
        <w:gridCol w:w="1160"/>
        <w:gridCol w:w="1028"/>
        <w:gridCol w:w="904"/>
        <w:gridCol w:w="1411"/>
        <w:gridCol w:w="730"/>
      </w:tblGrid>
      <w:tr>
        <w:trPr>
          <w:trHeight w:val="6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9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48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466"/>
        <w:gridCol w:w="1082"/>
        <w:gridCol w:w="1287"/>
        <w:gridCol w:w="1362"/>
        <w:gridCol w:w="1459"/>
        <w:gridCol w:w="1194"/>
        <w:gridCol w:w="1101"/>
        <w:gridCol w:w="1256"/>
        <w:gridCol w:w="1291"/>
        <w:gridCol w:w="1088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 ЮЛ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ЭЦП.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казино»  </w:t>
      </w:r>
    </w:p>
    <w:bookmarkEnd w:id="14"/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для занятия деятельностью казино»</w:t>
      </w:r>
      <w:r>
        <w:br/>
      </w:r>
      <w:r>
        <w:rPr>
          <w:rFonts w:ascii="Times New Roman"/>
          <w:b/>
          <w:i w:val="false"/>
          <w:color w:val="000000"/>
        </w:rPr>
        <w:t>
для физических лиц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46939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казино»</w:t>
      </w:r>
      <w:r>
        <w:br/>
      </w:r>
      <w:r>
        <w:rPr>
          <w:rFonts w:ascii="Times New Roman"/>
          <w:b/>
          <w:i w:val="false"/>
          <w:color w:val="000000"/>
        </w:rPr>
        <w:t>
для юридических лиц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46558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казино»</w:t>
      </w:r>
      <w:r>
        <w:br/>
      </w:r>
      <w:r>
        <w:rPr>
          <w:rFonts w:ascii="Times New Roman"/>
          <w:b/>
          <w:i w:val="false"/>
          <w:color w:val="000000"/>
        </w:rPr>
        <w:t>
для индивидуальных предпринимателей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46812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казино»  </w:t>
      </w:r>
    </w:p>
    <w:bookmarkEnd w:id="18"/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лицензии, переоформление, выдача 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занятия деятельностью казино»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и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2012 года № 294 </w:t>
      </w:r>
    </w:p>
    <w:bookmarkEnd w:id="20"/>
    <w:bookmarkStart w:name="z1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зала игровых автоматов»</w:t>
      </w:r>
    </w:p>
    <w:bookmarkEnd w:id="21"/>
    <w:bookmarkStart w:name="z1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(далее – услуга) оказывается Агентством Республики Казахстан по делам спорта и физической культуры (далее – услугодатель), через центры обслуживания населения (далее - Центр), а также через веб-портал «электронного правительства» www.e.gov.kz или веб-портал «Е-лицензирование» www.elicense.kz (далее - ПЭП), при условии наличия у потребителя услуги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(далее – Стандарт) «Выдача лицензии, переоформление, выдача дубликатов лицензии для занятия деятельностью зала игровых автоматов» утвержденный постановлением Правительства Республики Казахстан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зал игровых автоматов - игорное заведение, в котором для организации и проведения азартных игр используются только игровые автоматы;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23"/>
    <w:bookmarkStart w:name="z1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4"/>
    <w:bookmarkStart w:name="z1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потребителя регистрационного свидетельства ЭЦП и ввод потребителем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запроса для оказания услуги посредством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оператора Центра через ЦОН (диаграмма № 2)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ИС ГБД «Е-лицензирование»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потребителя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электронной лицензии»;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оплата услуги (либо предоставление документов об оплате);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запроса – пользователь с помощью кнопки «подписать» осуществляет удостоверения (подписания)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ИИН, 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11. Структурно-функциональные единицы (далее – СФЕ),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Экранные формы заполнения запроса и ответа на электронную государственную услугу, предоставляемые потребителю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 анкетой для определения показателей электронной государственной услуги: «качество» и «доступность»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25"/>
    <w:bookmarkStart w:name="z1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зала игровых автоматов» </w:t>
      </w:r>
    </w:p>
    <w:bookmarkEnd w:id="26"/>
    <w:bookmarkStart w:name="z19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15062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ЦОН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18491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2263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зала игровых автоматов» </w:t>
      </w:r>
    </w:p>
    <w:bookmarkEnd w:id="30"/>
    <w:bookmarkStart w:name="z19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392"/>
        <w:gridCol w:w="1392"/>
        <w:gridCol w:w="974"/>
        <w:gridCol w:w="974"/>
        <w:gridCol w:w="834"/>
        <w:gridCol w:w="1113"/>
        <w:gridCol w:w="1113"/>
        <w:gridCol w:w="974"/>
        <w:gridCol w:w="1113"/>
        <w:gridCol w:w="1114"/>
        <w:gridCol w:w="974"/>
        <w:gridCol w:w="836"/>
      </w:tblGrid>
      <w:tr>
        <w:trPr>
          <w:trHeight w:val="6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сывает)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</w:t>
            </w:r>
          </w:p>
        </w:tc>
      </w:tr>
      <w:tr>
        <w:trPr>
          <w:trHeight w:val="9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48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736"/>
        <w:gridCol w:w="1335"/>
        <w:gridCol w:w="1201"/>
        <w:gridCol w:w="1069"/>
        <w:gridCol w:w="1335"/>
        <w:gridCol w:w="1202"/>
        <w:gridCol w:w="1202"/>
        <w:gridCol w:w="1202"/>
        <w:gridCol w:w="1070"/>
        <w:gridCol w:w="1070"/>
      </w:tblGrid>
      <w:tr>
        <w:trPr>
          <w:trHeight w:val="6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</w:t>
            </w:r>
          </w:p>
        </w:tc>
      </w:tr>
      <w:tr>
        <w:trPr>
          <w:trHeight w:val="17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 мин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зала игровых автоматов» </w:t>
      </w:r>
    </w:p>
    <w:bookmarkEnd w:id="33"/>
    <w:bookmarkStart w:name="z2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зала игровых</w:t>
      </w:r>
      <w:r>
        <w:br/>
      </w:r>
      <w:r>
        <w:rPr>
          <w:rFonts w:ascii="Times New Roman"/>
          <w:b/>
          <w:i w:val="false"/>
          <w:color w:val="000000"/>
        </w:rPr>
        <w:t>
автоматов» для физических лиц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42240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зала игровых</w:t>
      </w:r>
      <w:r>
        <w:br/>
      </w:r>
      <w:r>
        <w:rPr>
          <w:rFonts w:ascii="Times New Roman"/>
          <w:b/>
          <w:i w:val="false"/>
          <w:color w:val="000000"/>
        </w:rPr>
        <w:t>
автоматов» для юридических лиц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38176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76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зала игровых</w:t>
      </w:r>
      <w:r>
        <w:br/>
      </w:r>
      <w:r>
        <w:rPr>
          <w:rFonts w:ascii="Times New Roman"/>
          <w:b/>
          <w:i w:val="false"/>
          <w:color w:val="000000"/>
        </w:rPr>
        <w:t>
автоматов» для индивидуальных предпринимателей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39827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827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зала игровых автоматов» </w:t>
      </w:r>
    </w:p>
    <w:bookmarkEnd w:id="37"/>
    <w:bookmarkStart w:name="z2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лицензии, переоформление, выдача 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занятия деятельностью зала игровых автоматов»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и физической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2012 года № 294  </w:t>
      </w:r>
    </w:p>
    <w:bookmarkEnd w:id="39"/>
    <w:bookmarkStart w:name="z20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букмекерской конторы»</w:t>
      </w:r>
    </w:p>
    <w:bookmarkEnd w:id="40"/>
    <w:bookmarkStart w:name="z20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2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(далее – услуга) оказывается Агентством Республики Казахстан по делам спорта и физической культуры (далее – услугодатель), через центры обслуживания населения (далее - Центр), а также через веб-портал «электронного правительства» www.e.gov.kz или веб-портал «Е-лицензирование» www.elicense.kz (далее - ПЭП), при условии наличия у потребителя услуги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(далее – Стандарт) «Выдача лицензии, переоформление, выдача дубликатов лицензии для занятия деятельностью букмекерской конторы» утвержденный постановлением Правительства Республики Казахстан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букмекерская контора - игорное заведение, в котором заключается на добровольной основе пари между организатором игорного бизнеса и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2"/>
    <w:bookmarkStart w:name="z23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3"/>
    <w:bookmarkStart w:name="z2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потребителя регистрационного свидетельства ЭЦП и ввод потребителем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запроса для оказания услуги посредством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оператора Центра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ИС ГБД «Е-лицензирование»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Центра услуги, указанной в настоящем Регламенте, вывод на экран формы запроса для оказания услуги и </w:t>
      </w:r>
      <w:r>
        <w:rPr>
          <w:rFonts w:ascii="Times New Roman"/>
          <w:b/>
          <w:i w:val="false"/>
          <w:color w:val="000000"/>
          <w:sz w:val="28"/>
        </w:rPr>
        <w:t xml:space="preserve">ввод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оператором Центра </w:t>
      </w:r>
      <w:r>
        <w:rPr>
          <w:rFonts w:ascii="Times New Roman"/>
          <w:b/>
          <w:i w:val="false"/>
          <w:color w:val="000000"/>
          <w:sz w:val="28"/>
        </w:rPr>
        <w:t>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потребителя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</w:t>
      </w:r>
      <w:r>
        <w:rPr>
          <w:rFonts w:ascii="Times New Roman"/>
          <w:b/>
          <w:i w:val="false"/>
          <w:color w:val="000000"/>
          <w:sz w:val="28"/>
        </w:rPr>
        <w:t>электронная лицензия</w:t>
      </w:r>
      <w:r>
        <w:rPr>
          <w:rFonts w:ascii="Times New Roman"/>
          <w:b w:val="false"/>
          <w:i w:val="false"/>
          <w:color w:val="000000"/>
          <w:sz w:val="28"/>
        </w:rPr>
        <w:t>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электронной лицензии»;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оплата услуги (либо предоставление документов об оплате);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запроса – пользователь с помощью кнопки «подписать» осуществляет удостоверения (подписания)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ИИН, 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Экранные формы заполнения запроса и ответа на электронную государственную услугу, предоставляемые потребителю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 анкетой для определения показателей электронной государственной услуги: «качество» и «доступность»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44"/>
    <w:bookmarkStart w:name="z2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букмекерской конторы»   </w:t>
      </w:r>
    </w:p>
    <w:bookmarkEnd w:id="45"/>
    <w:bookmarkStart w:name="z28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2001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ЦОН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21158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2263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букмекерской конторы»   </w:t>
      </w:r>
    </w:p>
    <w:bookmarkEnd w:id="49"/>
    <w:bookmarkStart w:name="z2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1261"/>
        <w:gridCol w:w="911"/>
        <w:gridCol w:w="885"/>
        <w:gridCol w:w="984"/>
        <w:gridCol w:w="889"/>
        <w:gridCol w:w="849"/>
        <w:gridCol w:w="887"/>
        <w:gridCol w:w="1058"/>
        <w:gridCol w:w="1079"/>
        <w:gridCol w:w="1246"/>
        <w:gridCol w:w="1192"/>
        <w:gridCol w:w="1473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292"/>
        <w:gridCol w:w="1163"/>
        <w:gridCol w:w="1257"/>
        <w:gridCol w:w="1239"/>
        <w:gridCol w:w="1186"/>
        <w:gridCol w:w="1465"/>
        <w:gridCol w:w="1389"/>
        <w:gridCol w:w="1411"/>
        <w:gridCol w:w="1223"/>
        <w:gridCol w:w="1034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 мин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букмекерской конторы»   </w:t>
      </w:r>
    </w:p>
    <w:bookmarkEnd w:id="52"/>
    <w:bookmarkStart w:name="z29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букмекерской</w:t>
      </w:r>
      <w:r>
        <w:br/>
      </w:r>
      <w:r>
        <w:rPr>
          <w:rFonts w:ascii="Times New Roman"/>
          <w:b/>
          <w:i w:val="false"/>
          <w:color w:val="000000"/>
        </w:rPr>
        <w:t>
конторы» для физических лиц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50876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букмекерской</w:t>
      </w:r>
      <w:r>
        <w:br/>
      </w:r>
      <w:r>
        <w:rPr>
          <w:rFonts w:ascii="Times New Roman"/>
          <w:b/>
          <w:i w:val="false"/>
          <w:color w:val="000000"/>
        </w:rPr>
        <w:t>
конторы» для юридических лиц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43637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букмекерской</w:t>
      </w:r>
      <w:r>
        <w:br/>
      </w:r>
      <w:r>
        <w:rPr>
          <w:rFonts w:ascii="Times New Roman"/>
          <w:b/>
          <w:i w:val="false"/>
          <w:color w:val="000000"/>
        </w:rPr>
        <w:t>
конторы» для индивидуальных предпринимателей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49987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9987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букмекерской конторы»   </w:t>
      </w:r>
    </w:p>
    <w:bookmarkEnd w:id="56"/>
    <w:bookmarkStart w:name="z3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лицензии, переоформление, выдача 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занятия деятельностью букмекерской конторы»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и физической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2012 года № 294  </w:t>
      </w:r>
    </w:p>
    <w:bookmarkEnd w:id="58"/>
    <w:bookmarkStart w:name="z3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тотализатора»</w:t>
      </w:r>
    </w:p>
    <w:bookmarkEnd w:id="59"/>
    <w:bookmarkStart w:name="z3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bookmarkStart w:name="z3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(далее – услуга) оказывается Агентством Республики Казахстан по делам спорта и физической культуры (далее – услугодатель), через центры обслуживания населения (далее - Центр), а также через веб-портал «электронного правительства» www.e.gov.kz или веб-портал «Е-лицензирование» www.elicense.kz (далее - ПЭП), при условии наличия у потребителя услуги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(далее – Стандарт) «Выдача лицензии, переоформление, выдача дубликатов лицензии для занятия деятельностью тотализатора» утвержденный постановлением Правительства Республики Казахстан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тотализатор - игорное заведение, в котором заключается пари между участниками при посредничестве организатора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61"/>
    <w:bookmarkStart w:name="z3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2"/>
    <w:bookmarkStart w:name="z3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потребителя регистрационного свидетельства ЭЦП и ввод потребителем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запроса для оказания услуги посредством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оператора Центра через ЦОН (диаграмма № 2)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ИС ГБД «Е-лицензирование»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Центра услуги, указанной в настоящем Регламенте, вывод на экран формы запроса для оказания услуги и </w:t>
      </w:r>
      <w:r>
        <w:rPr>
          <w:rFonts w:ascii="Times New Roman"/>
          <w:b/>
          <w:i w:val="false"/>
          <w:color w:val="000000"/>
          <w:sz w:val="28"/>
        </w:rPr>
        <w:t xml:space="preserve">ввод </w:t>
      </w:r>
      <w:r>
        <w:rPr>
          <w:rFonts w:ascii="Times New Roman"/>
          <w:b w:val="false"/>
          <w:i w:val="false"/>
          <w:color w:val="000000"/>
          <w:sz w:val="28"/>
        </w:rPr>
        <w:t>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потребителя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электронной лицензии»;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оплата услуги (либо предоставление документов об оплате);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запроса – пользователь с помощью кнопки «подписать» осуществляет удостоверения (подписания)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ИИН, 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Экранные формы заполнения запроса и ответа на электронную государственную услугу, предоставляемые потребителю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 анкетой для определения показателей электронной государственной услуги: «качество» и «доступность»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63"/>
    <w:bookmarkStart w:name="z3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тотализатора»</w:t>
      </w:r>
    </w:p>
    <w:bookmarkEnd w:id="64"/>
    <w:bookmarkStart w:name="z3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08966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ЦОН</w:t>
      </w:r>
    </w:p>
    <w:bookmarkEnd w:id="66"/>
    <w:bookmarkStart w:name="z384" w:id="67"/>
    <w:p>
      <w:pPr>
        <w:spacing w:after="0"/>
        <w:ind w:left="0"/>
        <w:jc w:val="both"/>
      </w:pPr>
      <w:r>
        <w:drawing>
          <wp:inline distT="0" distB="0" distL="0" distR="0">
            <wp:extent cx="110490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2263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тотализатора»</w:t>
      </w:r>
    </w:p>
    <w:bookmarkEnd w:id="68"/>
    <w:bookmarkStart w:name="z3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1261"/>
        <w:gridCol w:w="911"/>
        <w:gridCol w:w="885"/>
        <w:gridCol w:w="984"/>
        <w:gridCol w:w="889"/>
        <w:gridCol w:w="849"/>
        <w:gridCol w:w="887"/>
        <w:gridCol w:w="1058"/>
        <w:gridCol w:w="1079"/>
        <w:gridCol w:w="1246"/>
        <w:gridCol w:w="1192"/>
        <w:gridCol w:w="1473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292"/>
        <w:gridCol w:w="1163"/>
        <w:gridCol w:w="1257"/>
        <w:gridCol w:w="1239"/>
        <w:gridCol w:w="1186"/>
        <w:gridCol w:w="1465"/>
        <w:gridCol w:w="1389"/>
        <w:gridCol w:w="1411"/>
        <w:gridCol w:w="1223"/>
        <w:gridCol w:w="1034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 мин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тотализатора»</w:t>
      </w:r>
    </w:p>
    <w:bookmarkEnd w:id="71"/>
    <w:bookmarkStart w:name="z3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тотализатора»</w:t>
      </w:r>
      <w:r>
        <w:br/>
      </w:r>
      <w:r>
        <w:rPr>
          <w:rFonts w:ascii="Times New Roman"/>
          <w:b/>
          <w:i w:val="false"/>
          <w:color w:val="000000"/>
        </w:rPr>
        <w:t>
для физических лиц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40208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0208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тотализатора»</w:t>
      </w:r>
      <w:r>
        <w:br/>
      </w:r>
      <w:r>
        <w:rPr>
          <w:rFonts w:ascii="Times New Roman"/>
          <w:b/>
          <w:i w:val="false"/>
          <w:color w:val="000000"/>
        </w:rPr>
        <w:t>
для юридических лиц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50622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 тотализатора»</w:t>
      </w:r>
      <w:r>
        <w:br/>
      </w:r>
      <w:r>
        <w:rPr>
          <w:rFonts w:ascii="Times New Roman"/>
          <w:b/>
          <w:i w:val="false"/>
          <w:color w:val="000000"/>
        </w:rPr>
        <w:t>
для индивидуальных предпринимателей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52781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тотализатора»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3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лицензии, переоформление, выдача 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занятия деятельностью тотализатора»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