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4c065" w14:textId="804c0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24 августа 2012 года № 279. Зарегистрировано в Министерстве юстиции Республики Казахстан 12 октября 2012 года № 7991. Утратило силу постановлением Правления Национального Банка Республики Казахстан от 3 февраля 2014 года № 9</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03.02.2014 </w:t>
      </w:r>
      <w:r>
        <w:rPr>
          <w:rFonts w:ascii="Times New Roman"/>
          <w:b w:val="false"/>
          <w:i w:val="false"/>
          <w:color w:val="ff0000"/>
          <w:sz w:val="28"/>
        </w:rPr>
        <w:t>№ 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xml:space="preserve">      В целях совершенствования нормативных правовых актов, регулирующих рынок ценных бумаг,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3870) внести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осуществления брокерской и дилерской деятельности на рынке ценных бумаг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Действие настоящих Правил распространяется на:</w:t>
      </w:r>
      <w:r>
        <w:br/>
      </w:r>
      <w:r>
        <w:rPr>
          <w:rFonts w:ascii="Times New Roman"/>
          <w:b w:val="false"/>
          <w:i w:val="false"/>
          <w:color w:val="000000"/>
          <w:sz w:val="28"/>
        </w:rPr>
        <w:t>
      1) банки, являющиеся брокерами и (или) дилерами, в части, не противоречащей законодательству Республики Казахстан, регулирующему банковскую деятельность, за исключением Национального Банка Республики Казахстан;</w:t>
      </w:r>
      <w:r>
        <w:br/>
      </w:r>
      <w:r>
        <w:rPr>
          <w:rFonts w:ascii="Times New Roman"/>
          <w:b w:val="false"/>
          <w:i w:val="false"/>
          <w:color w:val="000000"/>
          <w:sz w:val="28"/>
        </w:rPr>
        <w:t>
      2) организации, осуществляющие инвестиционное управление пенсионными активами, накопительные пенсионные фонды, являющиеся брокерами и (или) дилерами, в части, не противоречащей законодательству Республики Казахстан о пенсионном обеспечении;</w:t>
      </w:r>
      <w:r>
        <w:br/>
      </w:r>
      <w:r>
        <w:rPr>
          <w:rFonts w:ascii="Times New Roman"/>
          <w:b w:val="false"/>
          <w:i w:val="false"/>
          <w:color w:val="000000"/>
          <w:sz w:val="28"/>
        </w:rPr>
        <w:t>
      3) управляющие компании инвестиционных фондов, являющиеся брокерами и (или) дилерами, в части, не противоречащей законодательству Республики Казахстан об инвестиционных фондах.»;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«4-1. Для целей настоящих Правил помимо рейтинговых оценок агентства Standard &amp; Poor's Комитетом по контролю и надзору финансового рынка и финансовых организаций Национального Банка Республики Казахстан (далее - уполномоченный орган) также признаются рейтинговые оценки агентств Moody's Investors Service и Fitch, и их дочерних рейтинговых организаций (далее - другие рейтинговые агентства).»;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«4-5. Внутренними документами брокера и (или) дилера устанавливается ответственность работников брокера и (или) дилера, имеющих доступ (использующих пароли) для входа в систему обмена электронными документами центрального депозитария ценных бумаг, фондовой биржи, клиринговой организации и (или) расчетной организации, осуществляющей организацию расчетов (платежей) по сделкам с финансовыми инструментами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77-1 Закона Республики Казахстан от 2 июля 2003 года «О рынке ценных бумаг» (далее – расчетная организация).»;</w:t>
      </w:r>
      <w:r>
        <w:br/>
      </w:r>
      <w:r>
        <w:rPr>
          <w:rFonts w:ascii="Times New Roman"/>
          <w:b w:val="false"/>
          <w:i w:val="false"/>
          <w:color w:val="000000"/>
          <w:sz w:val="28"/>
        </w:rPr>
        <w:t>
</w:t>
      </w:r>
      <w:r>
        <w:rPr>
          <w:rFonts w:ascii="Times New Roman"/>
          <w:b w:val="false"/>
          <w:i w:val="false"/>
          <w:color w:val="000000"/>
          <w:sz w:val="28"/>
        </w:rPr>
        <w:t>
      дополнить пунктами 4-6 и 4-7 следующего содержания:</w:t>
      </w:r>
      <w:r>
        <w:br/>
      </w:r>
      <w:r>
        <w:rPr>
          <w:rFonts w:ascii="Times New Roman"/>
          <w:b w:val="false"/>
          <w:i w:val="false"/>
          <w:color w:val="000000"/>
          <w:sz w:val="28"/>
        </w:rPr>
        <w:t>
</w:t>
      </w:r>
      <w:r>
        <w:rPr>
          <w:rFonts w:ascii="Times New Roman"/>
          <w:b w:val="false"/>
          <w:i w:val="false"/>
          <w:color w:val="000000"/>
          <w:sz w:val="28"/>
        </w:rPr>
        <w:t>
      «4-6. Сделки с ценными бумагами, предусмотренные пунктами 37-1 и 37-2 настоящих Правил, заключает только брокер и (или) дилер первой категории, не являющийся банком, при его соответствии следующим критериям:</w:t>
      </w:r>
      <w:r>
        <w:br/>
      </w:r>
      <w:r>
        <w:rPr>
          <w:rFonts w:ascii="Times New Roman"/>
          <w:b w:val="false"/>
          <w:i w:val="false"/>
          <w:color w:val="000000"/>
          <w:sz w:val="28"/>
        </w:rPr>
        <w:t>
      1) осуществление брокерской и дилерской деятельности на рынке ценных бумаг не менее трех лет;</w:t>
      </w:r>
      <w:r>
        <w:br/>
      </w:r>
      <w:r>
        <w:rPr>
          <w:rFonts w:ascii="Times New Roman"/>
          <w:b w:val="false"/>
          <w:i w:val="false"/>
          <w:color w:val="000000"/>
          <w:sz w:val="28"/>
        </w:rPr>
        <w:t>
      2) соответствие значений показателей, характеризующих покрытие рисков, требованиям </w:t>
      </w:r>
      <w:r>
        <w:rPr>
          <w:rFonts w:ascii="Times New Roman"/>
          <w:b w:val="false"/>
          <w:i w:val="false"/>
          <w:color w:val="000000"/>
          <w:sz w:val="28"/>
        </w:rPr>
        <w:t>Инструкции</w:t>
      </w:r>
      <w:r>
        <w:rPr>
          <w:rFonts w:ascii="Times New Roman"/>
          <w:b w:val="false"/>
          <w:i w:val="false"/>
          <w:color w:val="000000"/>
          <w:sz w:val="28"/>
        </w:rPr>
        <w:t xml:space="preserve"> о требованиях по наличию системы управления рисками для организаций, осуществляющих брокерскую и дилерскую деятельность на рынке ценных бумаг, деятельность по управлению инвестиционным портфелем, утвержденной постановлением Правления Агентства Республики Казахстан по регулированию и надзору финансового рынка и финансовых организаций от 26 сентября 2009 года № 209 (зарегистрированным в Реестре государственной регистрации нормативных правовых актов под № 5844);</w:t>
      </w:r>
      <w:r>
        <w:br/>
      </w:r>
      <w:r>
        <w:rPr>
          <w:rFonts w:ascii="Times New Roman"/>
          <w:b w:val="false"/>
          <w:i w:val="false"/>
          <w:color w:val="000000"/>
          <w:sz w:val="28"/>
        </w:rPr>
        <w:t>
     3) нахождение в списке первых семи компаний по рэнкингу активности членов фондовой биржи, определяемому в соответствии с внутренней методикой фондовой биржи по итогам месяца, предшествующего месяцу заключения сделок, и заключение не менее трехсот сделок с финансовыми инструментами (за исключением сделок, условиями которых предусматривается обязательство обратного выкупа либо обратной продажи финансовых инструментов, являющихся предметом сделки) на организованном рынке ценных бумаг в течение трех предыдущих последовательных месяцев;</w:t>
      </w:r>
      <w:r>
        <w:br/>
      </w:r>
      <w:r>
        <w:rPr>
          <w:rFonts w:ascii="Times New Roman"/>
          <w:b w:val="false"/>
          <w:i w:val="false"/>
          <w:color w:val="000000"/>
          <w:sz w:val="28"/>
        </w:rPr>
        <w:t>
      4) оказание эмитентам услуг по объявлению и поддержанию котировок в качестве маркет-мейкера в соответствии с внутренними документами фондовой биржи не менее чем по восьми финансовым инструментам, не более пяти из которых входят в представительский индекс фондовой биржи;</w:t>
      </w:r>
      <w:r>
        <w:br/>
      </w:r>
      <w:r>
        <w:rPr>
          <w:rFonts w:ascii="Times New Roman"/>
          <w:b w:val="false"/>
          <w:i w:val="false"/>
          <w:color w:val="000000"/>
          <w:sz w:val="28"/>
        </w:rPr>
        <w:t>
      5) оказание услуг по выпуску и размещению эмиссионных ценных бумаг в качестве андеррайтера или в составе эмиссионного консорциума, не менее чем трем эмитентам за три последних последовательных календарных года;</w:t>
      </w:r>
      <w:r>
        <w:br/>
      </w:r>
      <w:r>
        <w:rPr>
          <w:rFonts w:ascii="Times New Roman"/>
          <w:b w:val="false"/>
          <w:i w:val="false"/>
          <w:color w:val="000000"/>
          <w:sz w:val="28"/>
        </w:rPr>
        <w:t>
      6) оказание консультационных услуг эмитентам, чьи ценные бумаги включены в официальный список фондовой биржи.</w:t>
      </w:r>
      <w:r>
        <w:br/>
      </w:r>
      <w:r>
        <w:rPr>
          <w:rFonts w:ascii="Times New Roman"/>
          <w:b w:val="false"/>
          <w:i w:val="false"/>
          <w:color w:val="000000"/>
          <w:sz w:val="28"/>
        </w:rPr>
        <w:t>
</w:t>
      </w:r>
      <w:r>
        <w:rPr>
          <w:rFonts w:ascii="Times New Roman"/>
          <w:b w:val="false"/>
          <w:i w:val="false"/>
          <w:color w:val="000000"/>
          <w:sz w:val="28"/>
        </w:rPr>
        <w:t>
      4-7. Если брокер и (или) дилер первой категории, не являющийся банком, перестал соответствовать одному и (или) нескольким критериям, установленным пунктом 4-6 настоящих Правил, то с даты такого несоответствия он не заключает сделки с ценными бумагами, предусмотренные пунктами 37-1 и 37-2 настоящих Правил. При этом данный брокер и(или) дилер совершает действия по выполнению обязательств перед клиентами и контрпартнерами по сделкам с ценными бумагами, предусмотренным пунктами 37-1 и 37-2 настоящих Правил, заключенным в период соответствия брокера и(или) дилера критериям, установленным пунктом 4-6 настоящих Правил.</w:t>
      </w:r>
      <w:r>
        <w:br/>
      </w:r>
      <w:r>
        <w:rPr>
          <w:rFonts w:ascii="Times New Roman"/>
          <w:b w:val="false"/>
          <w:i w:val="false"/>
          <w:color w:val="000000"/>
          <w:sz w:val="28"/>
        </w:rPr>
        <w:t>
      При наступлении факта несоответствия брокера и (или) дилера критериям, установленным пунктом 4-6 настоящих Правил, брокер и (или) дилер направляет в уполномоченный орган уведомление о данном факте в течение одного рабочего дня, следующего за днем выявленного несоответствия.»;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«12. Брокер и (или) дилер по первому требованию клиента в течение двух рабочих дней со дня получения требования клиента представляет ему для ознакомления:</w:t>
      </w:r>
      <w:r>
        <w:br/>
      </w:r>
      <w:r>
        <w:rPr>
          <w:rFonts w:ascii="Times New Roman"/>
          <w:b w:val="false"/>
          <w:i w:val="false"/>
          <w:color w:val="000000"/>
          <w:sz w:val="28"/>
        </w:rPr>
        <w:t>
      1) свою финансовую отчетность за последний отчетный период;</w:t>
      </w:r>
      <w:r>
        <w:br/>
      </w:r>
      <w:r>
        <w:rPr>
          <w:rFonts w:ascii="Times New Roman"/>
          <w:b w:val="false"/>
          <w:i w:val="false"/>
          <w:color w:val="000000"/>
          <w:sz w:val="28"/>
        </w:rPr>
        <w:t>
      2) сведения об уровне соблюдения данным брокером и (или) дилером пруденциальных нормативов;</w:t>
      </w:r>
      <w:r>
        <w:br/>
      </w:r>
      <w:r>
        <w:rPr>
          <w:rFonts w:ascii="Times New Roman"/>
          <w:b w:val="false"/>
          <w:i w:val="false"/>
          <w:color w:val="000000"/>
          <w:sz w:val="28"/>
        </w:rPr>
        <w:t>
      3) сведения об ограниченных мерах воздействия и санкциях, за исключением административных взысканий, примененных уполномоченным органом к данному брокеру и (или) дилеру в течение последних двенадцати последовательных календарных месяцев. По санкциям в виде административного взыскания предоставляются сведения о наложении административного взыскания на данного брокера и (или) дилера или его должностных лиц за последние двенадцать последовательных календарных месяцев со дня окончания исполнения постановления о наложении административного взыскания;</w:t>
      </w:r>
      <w:r>
        <w:br/>
      </w:r>
      <w:r>
        <w:rPr>
          <w:rFonts w:ascii="Times New Roman"/>
          <w:b w:val="false"/>
          <w:i w:val="false"/>
          <w:color w:val="000000"/>
          <w:sz w:val="28"/>
        </w:rPr>
        <w:t>
      4) решения саморегулируемой организации и (или) организатора торгов, принятые в отношении данного брокера и (или) дилера, его работников в течение последних двенадцати последовательных календарных месяцев;</w:t>
      </w:r>
      <w:r>
        <w:br/>
      </w:r>
      <w:r>
        <w:rPr>
          <w:rFonts w:ascii="Times New Roman"/>
          <w:b w:val="false"/>
          <w:i w:val="false"/>
          <w:color w:val="000000"/>
          <w:sz w:val="28"/>
        </w:rPr>
        <w:t>
      5) нормативные правовые акты, регулирующие осуществление брокерской и дилерской деятельности, а также условия и порядок регистрации сделок с финансовыми инструментами, внутренние документы брокера и (или) дилера;</w:t>
      </w:r>
      <w:r>
        <w:br/>
      </w:r>
      <w:r>
        <w:rPr>
          <w:rFonts w:ascii="Times New Roman"/>
          <w:b w:val="false"/>
          <w:i w:val="false"/>
          <w:color w:val="000000"/>
          <w:sz w:val="28"/>
        </w:rPr>
        <w:t>
      6) письменное подтверждение брокера и (или) дилера, подписанное первым руководителем (в период его отсутствия – лицом, его замещающим) и заверенное оттиском печати брокера и (или) дилера о соответствии данного брокера и (или) дилера критериям, установленным пунктом 4-6 настоящих Правил, при заключении им сделок с ценными бумагами, предусмотренных пунктами 37-1 и 37-2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«15-1. Брокеры и (или) дилеры ежеквартально, не позднее последнего числа месяца, следующего за отчетным кварталом, публикуют бухгалтерский баланс и отчет о прибылях и убытках на государственном и русском языках в периодических печатных изданиях и (или) на собственном интернет-ресурсе.</w:t>
      </w:r>
      <w:r>
        <w:br/>
      </w:r>
      <w:r>
        <w:rPr>
          <w:rFonts w:ascii="Times New Roman"/>
          <w:b w:val="false"/>
          <w:i w:val="false"/>
          <w:color w:val="000000"/>
          <w:sz w:val="28"/>
        </w:rPr>
        <w:t>
      Для публикации бухгалтерского баланса и отчета о прибылях и убытках брокера и (или) дилера используются периодические печатные издания, выпускаемые тиражом не менее пятнадцати тысяч экземпляров и распространяемые на всей территории Республики Казахстан.</w:t>
      </w:r>
      <w:r>
        <w:br/>
      </w:r>
      <w:r>
        <w:rPr>
          <w:rFonts w:ascii="Times New Roman"/>
          <w:b w:val="false"/>
          <w:i w:val="false"/>
          <w:color w:val="000000"/>
          <w:sz w:val="28"/>
        </w:rPr>
        <w:t>
      При публикации бухгалтерского баланса и отчета о прибылях и убытках на интернет-ресурсе брокера и (или) дилера указываются дата и время размещения данной информации. Бухгалтерский баланс и отчет о прибылях и убытках брокера и (или) дилера хранится в архиве интернет-ресурса брокера и (или) дилера.»;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«22. В течение всего срока действия брокерского договора брокер и (или) дилер уведомляет своего клиента:</w:t>
      </w:r>
      <w:r>
        <w:br/>
      </w:r>
      <w:r>
        <w:rPr>
          <w:rFonts w:ascii="Times New Roman"/>
          <w:b w:val="false"/>
          <w:i w:val="false"/>
          <w:color w:val="000000"/>
          <w:sz w:val="28"/>
        </w:rPr>
        <w:t>
      1) о фактах и причинах ухудшения его финансового состояния, несоблюдении брокером и (или) дилером пруденциальных нормативов;</w:t>
      </w:r>
      <w:r>
        <w:br/>
      </w:r>
      <w:r>
        <w:rPr>
          <w:rFonts w:ascii="Times New Roman"/>
          <w:b w:val="false"/>
          <w:i w:val="false"/>
          <w:color w:val="000000"/>
          <w:sz w:val="28"/>
        </w:rPr>
        <w:t>
      2) об ограниченных мерах воздействия и санкциях, за исключением административных взысканий, примененных уполномоченным органом к данному брокеру и (или) дилеру в течение последних двенадцати последовательных календарных месяцев. По санкциям в виде административного взыскания предоставляются сведения о наложении административного взыскания на данного брокера и (или) дилера или его должностных лиц за последние двенадцать последовательных календарных месяцев со дня окончания исполнения постановления о наложении административного взыскания;</w:t>
      </w:r>
      <w:r>
        <w:br/>
      </w:r>
      <w:r>
        <w:rPr>
          <w:rFonts w:ascii="Times New Roman"/>
          <w:b w:val="false"/>
          <w:i w:val="false"/>
          <w:color w:val="000000"/>
          <w:sz w:val="28"/>
        </w:rPr>
        <w:t>
      3) об административных штрафах, наложенных на должностных лиц брокера и (или) дилера;</w:t>
      </w:r>
      <w:r>
        <w:br/>
      </w:r>
      <w:r>
        <w:rPr>
          <w:rFonts w:ascii="Times New Roman"/>
          <w:b w:val="false"/>
          <w:i w:val="false"/>
          <w:color w:val="000000"/>
          <w:sz w:val="28"/>
        </w:rPr>
        <w:t>
      4) о мерах воздействия, примененных саморегулируемой организацией, и штрафах, наложенных фондовой биржей в отношении данного брокера и (или) дилера;</w:t>
      </w:r>
      <w:r>
        <w:br/>
      </w:r>
      <w:r>
        <w:rPr>
          <w:rFonts w:ascii="Times New Roman"/>
          <w:b w:val="false"/>
          <w:i w:val="false"/>
          <w:color w:val="000000"/>
          <w:sz w:val="28"/>
        </w:rPr>
        <w:t>
      5) об ограничениях и особых условиях, установленных законодательством Республики Казахстан в отношении сделок с финансовыми инструментами, которые предполагаются к заключению (заключенных) в соответствии с брокерским договором;</w:t>
      </w:r>
      <w:r>
        <w:br/>
      </w:r>
      <w:r>
        <w:rPr>
          <w:rFonts w:ascii="Times New Roman"/>
          <w:b w:val="false"/>
          <w:i w:val="false"/>
          <w:color w:val="000000"/>
          <w:sz w:val="28"/>
        </w:rPr>
        <w:t>
      6) о несоответствии данного брокера и (или) дилера критериям, установленным пунктом 4-6 настоящих Правил, если ранее он соответствовал таким критериям и заключал сделки в соответствии с пунктами 37-1 и 37-2 настоящих Правил.»;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«23. Уведомления, предусмотренные пунктом 22 настоящих Правил, оформляются в письменном виде и направляются брокером и (или) дилером клиенту почтой и (или) нарочно, и (или) электронной почтой или иными возможными видами связи, и (или) размещены на интернет-ресурсе брокера и (или) дилера в день возникновения основания отправки такого уведомления.»;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30-1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«30-1. Допускается передача клиентского заказа средствами телефонной связи с последующим предоставлением в течение тридцати календарных дней оригинала клиентского заказа, соответствующего требованиям пунктов 29 и 30 настоящих Правил, если это предусмотрено брокерским договором. При принятии клиентского заказа средствами телефонной связи осуществляется запись разговора с клиентом либо его представителем, уполномоченным на передачу от имени клиента клиентского заказа средствами телефонной связи, с использованием аудиотехники и иных специальных технических средств (далее – телефонная запись).</w:t>
      </w:r>
      <w:r>
        <w:br/>
      </w:r>
      <w:r>
        <w:rPr>
          <w:rFonts w:ascii="Times New Roman"/>
          <w:b w:val="false"/>
          <w:i w:val="false"/>
          <w:color w:val="000000"/>
          <w:sz w:val="28"/>
        </w:rPr>
        <w:t>
      Телефонная запись клиентского заказа содержит сведения, указанные в пункте 29 настоящих Правил.</w:t>
      </w:r>
      <w:r>
        <w:br/>
      </w:r>
      <w:r>
        <w:rPr>
          <w:rFonts w:ascii="Times New Roman"/>
          <w:b w:val="false"/>
          <w:i w:val="false"/>
          <w:color w:val="000000"/>
          <w:sz w:val="28"/>
        </w:rPr>
        <w:t>
      Действия брокера и (или) дилера и его клиента при несоответствии оригинала клиентского заказа телефонной записи определяются брокерским договором.»;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«34. В случае приостановления действия лицензии, брокер и (или) дилер в течение двух рабочих дней со дня получения уведомления уполномоченного органа сообщает об этом:</w:t>
      </w:r>
      <w:r>
        <w:br/>
      </w:r>
      <w:r>
        <w:rPr>
          <w:rFonts w:ascii="Times New Roman"/>
          <w:b w:val="false"/>
          <w:i w:val="false"/>
          <w:color w:val="000000"/>
          <w:sz w:val="28"/>
        </w:rPr>
        <w:t>
      1) своим клиентам путем направления индивидуального извещения и размещения соответствующих объявлений в легкодоступных для клиентов местах (в помещениях головного офиса и филиалов, а также на интернет-ресурсе (при наличии) данного брокера и (или) дилера);</w:t>
      </w:r>
      <w:r>
        <w:br/>
      </w:r>
      <w:r>
        <w:rPr>
          <w:rFonts w:ascii="Times New Roman"/>
          <w:b w:val="false"/>
          <w:i w:val="false"/>
          <w:color w:val="000000"/>
          <w:sz w:val="28"/>
        </w:rPr>
        <w:t>
      2) номинальным держателям, у которых открыты счета номинального держания данного брокера и (или) дилера.»;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36</w:t>
      </w:r>
      <w:r>
        <w:rPr>
          <w:rFonts w:ascii="Times New Roman"/>
          <w:b w:val="false"/>
          <w:i w:val="false"/>
          <w:color w:val="000000"/>
          <w:sz w:val="28"/>
        </w:rPr>
        <w:t>, </w:t>
      </w:r>
      <w:r>
        <w:rPr>
          <w:rFonts w:ascii="Times New Roman"/>
          <w:b w:val="false"/>
          <w:i w:val="false"/>
          <w:color w:val="000000"/>
          <w:sz w:val="28"/>
        </w:rPr>
        <w:t>37</w:t>
      </w:r>
      <w:r>
        <w:rPr>
          <w:rFonts w:ascii="Times New Roman"/>
          <w:b w:val="false"/>
          <w:i w:val="false"/>
          <w:color w:val="000000"/>
          <w:sz w:val="28"/>
        </w:rPr>
        <w:t>, </w:t>
      </w:r>
      <w:r>
        <w:rPr>
          <w:rFonts w:ascii="Times New Roman"/>
          <w:b w:val="false"/>
          <w:i w:val="false"/>
          <w:color w:val="000000"/>
          <w:sz w:val="28"/>
        </w:rPr>
        <w:t>37-1</w:t>
      </w:r>
      <w:r>
        <w:rPr>
          <w:rFonts w:ascii="Times New Roman"/>
          <w:b w:val="false"/>
          <w:i w:val="false"/>
          <w:color w:val="000000"/>
          <w:sz w:val="28"/>
        </w:rPr>
        <w:t>, </w:t>
      </w:r>
      <w:r>
        <w:rPr>
          <w:rFonts w:ascii="Times New Roman"/>
          <w:b w:val="false"/>
          <w:i w:val="false"/>
          <w:color w:val="000000"/>
          <w:sz w:val="28"/>
        </w:rPr>
        <w:t>37-2</w:t>
      </w:r>
      <w:r>
        <w:rPr>
          <w:rFonts w:ascii="Times New Roman"/>
          <w:b w:val="false"/>
          <w:i w:val="false"/>
          <w:color w:val="000000"/>
          <w:sz w:val="28"/>
        </w:rPr>
        <w:t>, </w:t>
      </w:r>
      <w:r>
        <w:rPr>
          <w:rFonts w:ascii="Times New Roman"/>
          <w:b w:val="false"/>
          <w:i w:val="false"/>
          <w:color w:val="000000"/>
          <w:sz w:val="28"/>
        </w:rPr>
        <w:t>38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«36. Брокер и (или) дилер первой категории, не являющийся банком, открывает банковские счета для учета и хранения денег, принадлежащих клиентам, в не аффилированных с ним банках и (или) в центральном депозитарии ценных бумаг, и (или) в клиринговых организациях, и (или) расчетных организациях.</w:t>
      </w:r>
      <w:r>
        <w:br/>
      </w:r>
      <w:r>
        <w:rPr>
          <w:rFonts w:ascii="Times New Roman"/>
          <w:b w:val="false"/>
          <w:i w:val="false"/>
          <w:color w:val="000000"/>
          <w:sz w:val="28"/>
        </w:rPr>
        <w:t>
      Банки, указанные в части первой настоящего пункта, соответствуют одному из следующих критериев:</w:t>
      </w:r>
      <w:r>
        <w:br/>
      </w:r>
      <w:r>
        <w:rPr>
          <w:rFonts w:ascii="Times New Roman"/>
          <w:b w:val="false"/>
          <w:i w:val="false"/>
          <w:color w:val="000000"/>
          <w:sz w:val="28"/>
        </w:rPr>
        <w:t>
      имеют долгосрочный кредитный рейтинг не ниже «ВВ-» по международной шкале агентства Standard &amp; Poor's или рейтинговую оценку аналогичного уровня одного из других рейтинговых агентств, или рейтинговую оценку не ниже «kzBB-» по национальной шкале Standard &amp; Poor's или рейтинг аналогичного уровня по национальной шкале одного из других рейтинговых агентств;</w:t>
      </w:r>
      <w:r>
        <w:br/>
      </w:r>
      <w:r>
        <w:rPr>
          <w:rFonts w:ascii="Times New Roman"/>
          <w:b w:val="false"/>
          <w:i w:val="false"/>
          <w:color w:val="000000"/>
          <w:sz w:val="28"/>
        </w:rPr>
        <w:t>
      являются дочерними банками-резидентами, родительский банк-нерезидент которых имеет долгосрочный кредитный рейтинг не ниже «А-» по международной шкале агентства Standard &amp; Poor's или рейтинговую оценку аналогичного уровня одного из других рейтинговых агентств;</w:t>
      </w:r>
      <w:r>
        <w:br/>
      </w:r>
      <w:r>
        <w:rPr>
          <w:rFonts w:ascii="Times New Roman"/>
          <w:b w:val="false"/>
          <w:i w:val="false"/>
          <w:color w:val="000000"/>
          <w:sz w:val="28"/>
        </w:rPr>
        <w:t>
      являются банками-эмитентами, включенными в первую категорию сектора «акции» официального списка фондовой биржи.</w:t>
      </w:r>
      <w:r>
        <w:br/>
      </w:r>
      <w:r>
        <w:rPr>
          <w:rFonts w:ascii="Times New Roman"/>
          <w:b w:val="false"/>
          <w:i w:val="false"/>
          <w:color w:val="000000"/>
          <w:sz w:val="28"/>
        </w:rPr>
        <w:t>
</w:t>
      </w:r>
      <w:r>
        <w:rPr>
          <w:rFonts w:ascii="Times New Roman"/>
          <w:b w:val="false"/>
          <w:i w:val="false"/>
          <w:color w:val="000000"/>
          <w:sz w:val="28"/>
        </w:rPr>
        <w:t>
      37. Любые сделки брокера и (или) дилера, не являющегося банком, с финансовыми инструментами подлежат заключению на организованном рынке ценных бумаг, за исключениями, установленными пунктами 37-1, 37-2 и 38 настоящих Правил.</w:t>
      </w:r>
      <w:r>
        <w:br/>
      </w:r>
      <w:r>
        <w:rPr>
          <w:rFonts w:ascii="Times New Roman"/>
          <w:b w:val="false"/>
          <w:i w:val="false"/>
          <w:color w:val="000000"/>
          <w:sz w:val="28"/>
        </w:rPr>
        <w:t>
      Сделки брокера и (или) дилера, являющегося банком, с финансовыми инструментами подлежат заключению на организованном рынке ценных бумаг, за исключениями, установленными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16 июля 2007 года № 210 «Об установлении перечня и порядка приобретения базовых активов производных ценных бумаг и производных финансовых инструментов, с которыми банки второго уровня могут осуществлять брокерскую и (или) дилерскую деятельность на рынке ценных бумаг, а также случаев заключения сделок с государственными ценными бумагами и негосударственными ценными бумагами на вторичном рынке, производными финансовыми инструментами на неорганизованном рынке ценных бумаг» (зарегистрированным в Реестре государственной регистрации нормативных правовых актов под № 4892).</w:t>
      </w:r>
      <w:r>
        <w:br/>
      </w:r>
      <w:r>
        <w:rPr>
          <w:rFonts w:ascii="Times New Roman"/>
          <w:b w:val="false"/>
          <w:i w:val="false"/>
          <w:color w:val="000000"/>
          <w:sz w:val="28"/>
        </w:rPr>
        <w:t>
</w:t>
      </w:r>
      <w:r>
        <w:rPr>
          <w:rFonts w:ascii="Times New Roman"/>
          <w:b w:val="false"/>
          <w:i w:val="false"/>
          <w:color w:val="000000"/>
          <w:sz w:val="28"/>
        </w:rPr>
        <w:t>
      37-1. Брокер и (или) дилер первой категории, не являющийся банком, соответствующий критериям, установленным пунктом 4-6 настоящих Правил, помимо сделок с финансовыми инструментами, указанных в пункте 38 настоящих Правил, заключает на международных (иностранных) рынках ценных бумаг сделки по продаже негосударственных эмиссионных ценных бумаг, выпущенных в соответствии с законодательством иностранного государства и допущенных к обращению на организованном рынке ценных бумаг.</w:t>
      </w:r>
      <w:r>
        <w:br/>
      </w:r>
      <w:r>
        <w:rPr>
          <w:rFonts w:ascii="Times New Roman"/>
          <w:b w:val="false"/>
          <w:i w:val="false"/>
          <w:color w:val="000000"/>
          <w:sz w:val="28"/>
        </w:rPr>
        <w:t>
</w:t>
      </w:r>
      <w:r>
        <w:rPr>
          <w:rFonts w:ascii="Times New Roman"/>
          <w:b w:val="false"/>
          <w:i w:val="false"/>
          <w:color w:val="000000"/>
          <w:sz w:val="28"/>
        </w:rPr>
        <w:t>
      37-2. Брокеру-дилеру, соответствующему критериям, установленным пунктом 4-6 настоящих Правил, разрешается заключение сделок с расчетным периодом до пяти рабочих дней, при котором исполнение обязательств одной стороной сделки по поставке финансового инструмента или денег возможно с исполнением другой стороной сделки встречных обязательств по поставке денег или финансового инструмента в течение четырех рабочих дней с даты заключения сделки.</w:t>
      </w:r>
      <w:r>
        <w:br/>
      </w:r>
      <w:r>
        <w:rPr>
          <w:rFonts w:ascii="Times New Roman"/>
          <w:b w:val="false"/>
          <w:i w:val="false"/>
          <w:color w:val="000000"/>
          <w:sz w:val="28"/>
        </w:rPr>
        <w:t>
      Расчеты по указанным сделкам осуществляются через международные (иностранные) расчетно-депозитарные системы (Euroclear, Clearstream, Depository Trust &amp; Clearing Corporation, Japan Securities Clearing Corporation и других аналогичных систем)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r>
        <w:br/>
      </w:r>
      <w:r>
        <w:rPr>
          <w:rFonts w:ascii="Times New Roman"/>
          <w:b w:val="false"/>
          <w:i w:val="false"/>
          <w:color w:val="000000"/>
          <w:sz w:val="28"/>
        </w:rPr>
        <w:t>
</w:t>
      </w:r>
      <w:r>
        <w:rPr>
          <w:rFonts w:ascii="Times New Roman"/>
          <w:b w:val="false"/>
          <w:i w:val="false"/>
          <w:color w:val="000000"/>
          <w:sz w:val="28"/>
        </w:rPr>
        <w:t>
      38. Норма, установленная частью первой пункта 37 настоящих Правил, не распространяется на следующие случаи:</w:t>
      </w:r>
      <w:r>
        <w:br/>
      </w:r>
      <w:r>
        <w:rPr>
          <w:rFonts w:ascii="Times New Roman"/>
          <w:b w:val="false"/>
          <w:i w:val="false"/>
          <w:color w:val="000000"/>
          <w:sz w:val="28"/>
        </w:rPr>
        <w:t>
      1) заключение сделок с государственными ценными бумагами, эмитированными в соответствии с законодательством других государств;</w:t>
      </w:r>
      <w:r>
        <w:br/>
      </w:r>
      <w:r>
        <w:rPr>
          <w:rFonts w:ascii="Times New Roman"/>
          <w:b w:val="false"/>
          <w:i w:val="false"/>
          <w:color w:val="000000"/>
          <w:sz w:val="28"/>
        </w:rPr>
        <w:t>
      2) заключение сделок с государственными ценными бумагами Республики Казахстан, условиями выпуска, размещения, обращения, обслуживания и погашения которых предусмотрено их размещение только среди физических лиц;</w:t>
      </w:r>
      <w:r>
        <w:br/>
      </w:r>
      <w:r>
        <w:rPr>
          <w:rFonts w:ascii="Times New Roman"/>
          <w:b w:val="false"/>
          <w:i w:val="false"/>
          <w:color w:val="000000"/>
          <w:sz w:val="28"/>
        </w:rPr>
        <w:t>
      3) заключение сделок с негосударственными ценными бумагами, не являющимися эмиссионными в соответствии с законодательством Республики Казахстан;</w:t>
      </w:r>
      <w:r>
        <w:br/>
      </w:r>
      <w:r>
        <w:rPr>
          <w:rFonts w:ascii="Times New Roman"/>
          <w:b w:val="false"/>
          <w:i w:val="false"/>
          <w:color w:val="000000"/>
          <w:sz w:val="28"/>
        </w:rPr>
        <w:t>
      4) покупка брокером и (или) дилером негосударственных эмиссионных ценных бумаг у их собственников-физических лиц (у представителей собственников ценных бумаг, являющихся физическими лицами и не являющихся их коммерческими представителями в соответствии с законодательством Республики Казахстан) на неорганизованном рынке ценных бумаг;</w:t>
      </w:r>
      <w:r>
        <w:br/>
      </w:r>
      <w:r>
        <w:rPr>
          <w:rFonts w:ascii="Times New Roman"/>
          <w:b w:val="false"/>
          <w:i w:val="false"/>
          <w:color w:val="000000"/>
          <w:sz w:val="28"/>
        </w:rPr>
        <w:t>
      5) заключение сделок с негосударственными эмиссионными ценными бумагами, в том числе негосударственными эмиссионными ценными бумагами иностранных эмитентов, не допущенными к обращению на организованном рынке ценных бумаг;</w:t>
      </w:r>
      <w:r>
        <w:br/>
      </w:r>
      <w:r>
        <w:rPr>
          <w:rFonts w:ascii="Times New Roman"/>
          <w:b w:val="false"/>
          <w:i w:val="false"/>
          <w:color w:val="000000"/>
          <w:sz w:val="28"/>
        </w:rPr>
        <w:t>
      6) заключение с нерезидентами сделок с ценными бумагами иностранных эмитентов, допущенными к обращению на организованном рынке ценных бумаг;</w:t>
      </w:r>
      <w:r>
        <w:br/>
      </w:r>
      <w:r>
        <w:rPr>
          <w:rFonts w:ascii="Times New Roman"/>
          <w:b w:val="false"/>
          <w:i w:val="false"/>
          <w:color w:val="000000"/>
          <w:sz w:val="28"/>
        </w:rPr>
        <w:t>
      7) заключение сделок с ценными бумагами (в том числе выпущенными самим брокером и (или) дилером) при их размещении на первичном рынке ценных бумаг;</w:t>
      </w:r>
      <w:r>
        <w:br/>
      </w:r>
      <w:r>
        <w:rPr>
          <w:rFonts w:ascii="Times New Roman"/>
          <w:b w:val="false"/>
          <w:i w:val="false"/>
          <w:color w:val="000000"/>
          <w:sz w:val="28"/>
        </w:rPr>
        <w:t>
      8) выкуп брокером и (или) дилером выпущенных им ценных бумаг;</w:t>
      </w:r>
      <w:r>
        <w:br/>
      </w:r>
      <w:r>
        <w:rPr>
          <w:rFonts w:ascii="Times New Roman"/>
          <w:b w:val="false"/>
          <w:i w:val="false"/>
          <w:color w:val="000000"/>
          <w:sz w:val="28"/>
        </w:rPr>
        <w:t>
      9) заключение сделок с производными финансовыми инструментами на товарных биржах, не предусматривающих поставку товара;</w:t>
      </w:r>
      <w:r>
        <w:br/>
      </w:r>
      <w:r>
        <w:rPr>
          <w:rFonts w:ascii="Times New Roman"/>
          <w:b w:val="false"/>
          <w:i w:val="false"/>
          <w:color w:val="000000"/>
          <w:sz w:val="28"/>
        </w:rPr>
        <w:t>
      10) заключение сделок с финансовыми инструментами за счет средств квалифицированных инвесторов с финансовыми инструментами, разрешенными к приобретению только за счет средств квалифицированных инвесторов;</w:t>
      </w:r>
      <w:r>
        <w:br/>
      </w:r>
      <w:r>
        <w:rPr>
          <w:rFonts w:ascii="Times New Roman"/>
          <w:b w:val="false"/>
          <w:i w:val="false"/>
          <w:color w:val="000000"/>
          <w:sz w:val="28"/>
        </w:rPr>
        <w:t>
      11) заключение на международных (иностранных) рынках ценных бумаг сделок по покупке негосударственных эмиссионных ценных бумаг, выпущенных в соответствии с законодательством иностранного государства и допущенных к обращению на организованном рынке ценных бумаг;</w:t>
      </w:r>
      <w:r>
        <w:br/>
      </w:r>
      <w:r>
        <w:rPr>
          <w:rFonts w:ascii="Times New Roman"/>
          <w:b w:val="false"/>
          <w:i w:val="false"/>
          <w:color w:val="000000"/>
          <w:sz w:val="28"/>
        </w:rPr>
        <w:t>
      12) реализация права преимущественной покупки ценных бумаг;</w:t>
      </w:r>
      <w:r>
        <w:br/>
      </w:r>
      <w:r>
        <w:rPr>
          <w:rFonts w:ascii="Times New Roman"/>
          <w:b w:val="false"/>
          <w:i w:val="false"/>
          <w:color w:val="000000"/>
          <w:sz w:val="28"/>
        </w:rPr>
        <w:t>
      13) заключение сделок с ценными бумагами, подвергнутых фондовой биржей делистингу;</w:t>
      </w:r>
      <w:r>
        <w:br/>
      </w:r>
      <w:r>
        <w:rPr>
          <w:rFonts w:ascii="Times New Roman"/>
          <w:b w:val="false"/>
          <w:i w:val="false"/>
          <w:color w:val="000000"/>
          <w:sz w:val="28"/>
        </w:rPr>
        <w:t>
      14) конвертирование ценных бумаг и иных денежных обязательств эмитента в простые акции акционерного общества в случаях, установленных </w:t>
      </w: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15) обмен размещенных акций акционерного общества одного вида на акции данного акционерного общества другого вида;</w:t>
      </w:r>
      <w:r>
        <w:br/>
      </w:r>
      <w:r>
        <w:rPr>
          <w:rFonts w:ascii="Times New Roman"/>
          <w:b w:val="false"/>
          <w:i w:val="false"/>
          <w:color w:val="000000"/>
          <w:sz w:val="28"/>
        </w:rPr>
        <w:t>
      16) выкуп акционерным обществом своих размещенных акций по инициативе данного акционерного общества или по требованию акционера согласно </w:t>
      </w:r>
      <w:r>
        <w:rPr>
          <w:rFonts w:ascii="Times New Roman"/>
          <w:b w:val="false"/>
          <w:i w:val="false"/>
          <w:color w:val="000000"/>
          <w:sz w:val="28"/>
        </w:rPr>
        <w:t>статьям 26</w:t>
      </w:r>
      <w:r>
        <w:rPr>
          <w:rFonts w:ascii="Times New Roman"/>
          <w:b w:val="false"/>
          <w:i w:val="false"/>
          <w:color w:val="000000"/>
          <w:sz w:val="28"/>
        </w:rPr>
        <w:t xml:space="preserve"> и </w:t>
      </w:r>
      <w:r>
        <w:rPr>
          <w:rFonts w:ascii="Times New Roman"/>
          <w:b w:val="false"/>
          <w:i w:val="false"/>
          <w:color w:val="000000"/>
          <w:sz w:val="28"/>
        </w:rPr>
        <w:t>27</w:t>
      </w:r>
      <w:r>
        <w:rPr>
          <w:rFonts w:ascii="Times New Roman"/>
          <w:b w:val="false"/>
          <w:i w:val="false"/>
          <w:color w:val="000000"/>
          <w:sz w:val="28"/>
        </w:rPr>
        <w:t xml:space="preserve"> Закона Республики Казахстан от 13 мая 2003 года «Об акционерных обществах».»;</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38-5</w:t>
      </w:r>
      <w:r>
        <w:rPr>
          <w:rFonts w:ascii="Times New Roman"/>
          <w:b w:val="false"/>
          <w:i w:val="false"/>
          <w:color w:val="000000"/>
          <w:sz w:val="28"/>
        </w:rPr>
        <w:t xml:space="preserve"> и </w:t>
      </w:r>
      <w:r>
        <w:rPr>
          <w:rFonts w:ascii="Times New Roman"/>
          <w:b w:val="false"/>
          <w:i w:val="false"/>
          <w:color w:val="000000"/>
          <w:sz w:val="28"/>
        </w:rPr>
        <w:t>38-6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«38-5. Брокер и (или) дилер не заключает сделку с ценными бумагами и не подает заявку на заключение сделки с ценными бумагами при отсутствии необходимого количества ценных бумаг и денег на счете брокера и (или) дилера или его клиента, по поручению которого планируется заключение сделки.</w:t>
      </w:r>
      <w:r>
        <w:br/>
      </w:r>
      <w:r>
        <w:rPr>
          <w:rFonts w:ascii="Times New Roman"/>
          <w:b w:val="false"/>
          <w:i w:val="false"/>
          <w:color w:val="000000"/>
          <w:sz w:val="28"/>
        </w:rPr>
        <w:t>
      Действие настоящего пункта не распространяется на случай, указанный в пункте 37-2 настоящих Правил.</w:t>
      </w:r>
      <w:r>
        <w:br/>
      </w:r>
      <w:r>
        <w:rPr>
          <w:rFonts w:ascii="Times New Roman"/>
          <w:b w:val="false"/>
          <w:i w:val="false"/>
          <w:color w:val="000000"/>
          <w:sz w:val="28"/>
        </w:rPr>
        <w:t>
</w:t>
      </w:r>
      <w:r>
        <w:rPr>
          <w:rFonts w:ascii="Times New Roman"/>
          <w:b w:val="false"/>
          <w:i w:val="false"/>
          <w:color w:val="000000"/>
          <w:sz w:val="28"/>
        </w:rPr>
        <w:t>
      38-6. Брокер и (или) дилер заключает на международных (иностранных) рынках ценных бумаг сделки по купле-продаже финансовых инструментов казахстанских и иностранных эмитентов при соблюдении следующих условий:</w:t>
      </w:r>
      <w:r>
        <w:br/>
      </w:r>
      <w:r>
        <w:rPr>
          <w:rFonts w:ascii="Times New Roman"/>
          <w:b w:val="false"/>
          <w:i w:val="false"/>
          <w:color w:val="000000"/>
          <w:sz w:val="28"/>
        </w:rPr>
        <w:t>
      1) сделки по купле акций (депозитарных расписок) заключаются по ценам, не превышающим максимального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w:t>
      </w:r>
      <w:r>
        <w:br/>
      </w:r>
      <w:r>
        <w:rPr>
          <w:rFonts w:ascii="Times New Roman"/>
          <w:b w:val="false"/>
          <w:i w:val="false"/>
          <w:color w:val="000000"/>
          <w:sz w:val="28"/>
        </w:rPr>
        <w:t>
      2) сделки по продаже акций (депозитарных расписок) заключаются по ценам не ниже минимального значения цены по данному финансовому инструменту, сложившейся в день заключения сделки на международных (иностранных) фондовых биржах, на которых обращаются данные финансовые инструменты, согласно информации, представленной в информационных аналитических системах Bloomberg или Reuters;</w:t>
      </w:r>
      <w:r>
        <w:br/>
      </w:r>
      <w:r>
        <w:rPr>
          <w:rFonts w:ascii="Times New Roman"/>
          <w:b w:val="false"/>
          <w:i w:val="false"/>
          <w:color w:val="000000"/>
          <w:sz w:val="28"/>
        </w:rPr>
        <w:t>
      3) по долговым ценным бумагам, за исключением principal protected notes, а также по производным финансовым инструментам, имеется распечатка котировок на покупку (продажу) с информационных аналитических систем Bloomberg или Reuters либо в случае отсутствия таких котировок имеется не менее трех котировок от трех различных контрпартнеров, полученных посредством почтовой, электронной или факсимильной связи. Если контрпартнер не котирует данную ценную бумагу, сообщение контрпартнера об отсутствии котировок или отказе в котировании ценных бумаг включается в отчет о заключении сделки;</w:t>
      </w:r>
      <w:r>
        <w:br/>
      </w:r>
      <w:r>
        <w:rPr>
          <w:rFonts w:ascii="Times New Roman"/>
          <w:b w:val="false"/>
          <w:i w:val="false"/>
          <w:color w:val="000000"/>
          <w:sz w:val="28"/>
        </w:rPr>
        <w:t>
      4) расчеты по сделкам с данными финансовыми инструментами осуществляются через международные (иностранные) расчетно-депозитарные системы (Euroclear, Clearstream, Depository Trust &amp; Clearing Corporation, Japan Securities Clearing Corporation и других аналогичных систем) по принципу «поставка против платежа», при котором исполнение обязательств стороной сделки по поставке финансовых инструментов невозможно без исполнения ее встречных требований по получению иных финансовых инструментов или с применением услуг центрального контрагента.</w:t>
      </w:r>
      <w:r>
        <w:br/>
      </w:r>
      <w:r>
        <w:rPr>
          <w:rFonts w:ascii="Times New Roman"/>
          <w:b w:val="false"/>
          <w:i w:val="false"/>
          <w:color w:val="000000"/>
          <w:sz w:val="28"/>
        </w:rPr>
        <w:t>
      Для целей настоящих Правил под контрпартнером понимается юридическое лицо, обладающее правом заключать сделки с финансовыми инструментами в соответствии с законодательством Республики Казахстан или иностранного государства.»;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пункты 43</w:t>
      </w:r>
      <w:r>
        <w:rPr>
          <w:rFonts w:ascii="Times New Roman"/>
          <w:b w:val="false"/>
          <w:i w:val="false"/>
          <w:color w:val="000000"/>
          <w:sz w:val="28"/>
        </w:rPr>
        <w:t xml:space="preserve"> и </w:t>
      </w:r>
      <w:r>
        <w:rPr>
          <w:rFonts w:ascii="Times New Roman"/>
          <w:b w:val="false"/>
          <w:i w:val="false"/>
          <w:color w:val="000000"/>
          <w:sz w:val="28"/>
        </w:rPr>
        <w:t>44</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w:t>
      </w:r>
      <w:r>
        <w:rPr>
          <w:rFonts w:ascii="Times New Roman"/>
          <w:b w:val="false"/>
          <w:i w:val="false"/>
          <w:color w:val="000000"/>
          <w:sz w:val="28"/>
        </w:rPr>
        <w:t>
      «43. Финансовые инструменты и деньги, принадлежащие брокеру и (или) дилеру первой категории, подлежат отдельному учету от финансовых инструментов и денег его клиентов. В этих целях брокер и (или) дилер первой категории открывает отдельные лицевые счета (субсчета) и банковские счета, предназначенные для раздельного учета и хранения финансовых инструментов и денег, принадлежащих ему и его клиентам, в центральном депозитарии ценных бумаг и (или) у кастодианов (только по ценным бумагам иностранных эмитентов), и (или) в банках, соответствующих требованиям пункта 36 настоящих Правил, а также в клиринговых организациях и (или) расчетных организациях.</w:t>
      </w:r>
      <w:r>
        <w:br/>
      </w:r>
      <w:r>
        <w:rPr>
          <w:rFonts w:ascii="Times New Roman"/>
          <w:b w:val="false"/>
          <w:i w:val="false"/>
          <w:color w:val="000000"/>
          <w:sz w:val="28"/>
        </w:rPr>
        <w:t>
</w:t>
      </w:r>
      <w:r>
        <w:rPr>
          <w:rFonts w:ascii="Times New Roman"/>
          <w:b w:val="false"/>
          <w:i w:val="false"/>
          <w:color w:val="000000"/>
          <w:sz w:val="28"/>
        </w:rPr>
        <w:t>
      44. Поступающие от клиентов финансовые инструменты и деньги подлежат зачислению брокером и (или) дилером первой категории на счета, предназначенные для учета и хранения финансовых инструментов и денег, принадлежащих клиентам брокера и (или) дилера, в центральном депозитарии ценных бумаг и (или) у кастодианов (только по ценным бумагам иностранных эмитентов) и (или) в банках, соответствующих требованиям пункта 36 настоящих Правил, и (или) в клиринговых организациях, и (или) в иных расчетных организациях, в трехдневный срок с момента поступления финансовых инструментов и денег.»;</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67</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«67. Договор между эмитентом ценных бумаг и андеррайтером (эмиссионным консорциумом) устанавливает один из следующих способов размещения выпуска эмиссионных ценных бумаг:</w:t>
      </w:r>
      <w:r>
        <w:br/>
      </w:r>
      <w:r>
        <w:rPr>
          <w:rFonts w:ascii="Times New Roman"/>
          <w:b w:val="false"/>
          <w:i w:val="false"/>
          <w:color w:val="000000"/>
          <w:sz w:val="28"/>
        </w:rPr>
        <w:t>
      1) способ «твердых обязательств», при котором андеррайтер (эмиссионный консорциум) выкупает у эмитента размещаемые ценные бумаги в целях их последующей продажи другим инвесторам.</w:t>
      </w:r>
      <w:r>
        <w:br/>
      </w:r>
      <w:r>
        <w:rPr>
          <w:rFonts w:ascii="Times New Roman"/>
          <w:b w:val="false"/>
          <w:i w:val="false"/>
          <w:color w:val="000000"/>
          <w:sz w:val="28"/>
        </w:rPr>
        <w:t>
      Услуги андеррайтера (эмиссионного консорциума) способом «твердых обязательств» осуществляет брокер и (или) дилер первой категории.</w:t>
      </w:r>
      <w:r>
        <w:br/>
      </w:r>
      <w:r>
        <w:rPr>
          <w:rFonts w:ascii="Times New Roman"/>
          <w:b w:val="false"/>
          <w:i w:val="false"/>
          <w:color w:val="000000"/>
          <w:sz w:val="28"/>
        </w:rPr>
        <w:t>
      Дополнительным условием является обязательное закрепление данных функций во внутренних документах брокера и (или) дилера, регламентирующих порядок предоставления указанного вида услуг;</w:t>
      </w:r>
      <w:r>
        <w:br/>
      </w:r>
      <w:r>
        <w:rPr>
          <w:rFonts w:ascii="Times New Roman"/>
          <w:b w:val="false"/>
          <w:i w:val="false"/>
          <w:color w:val="000000"/>
          <w:sz w:val="28"/>
        </w:rPr>
        <w:t>
      2) способ «наилучших усилий», при котором андеррайтер (эмиссионный консорциум) обязуется приложить все возможные для него усилия по размещению эмиссионных ценных бумаг путем их предложения инвесторам;</w:t>
      </w:r>
      <w:r>
        <w:br/>
      </w:r>
      <w:r>
        <w:rPr>
          <w:rFonts w:ascii="Times New Roman"/>
          <w:b w:val="false"/>
          <w:i w:val="false"/>
          <w:color w:val="000000"/>
          <w:sz w:val="28"/>
        </w:rPr>
        <w:t>
      3) иной способ размещения эмиссионных ценных бумаг в соответствии с условиями договора, заключенного между эмитентом ценных бумаг и андеррайтером (эмиссионным консорциумом).»;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70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«70. Брокер и (или) дилер не реже одного раза в месяц производят сверку данных собственного учета количества финансовых инструментов и денег на лицевых и банковских счетах с данными центрального депозитария ценных бумаг, клиринговых организаций и (или) расчетных организаций, кастодианов и банков о количестве финансовых инструментов и денег на счетах, открытых данному брокеру и (или) дилеру.</w:t>
      </w:r>
      <w:r>
        <w:br/>
      </w:r>
      <w:r>
        <w:rPr>
          <w:rFonts w:ascii="Times New Roman"/>
          <w:b w:val="false"/>
          <w:i w:val="false"/>
          <w:color w:val="000000"/>
          <w:sz w:val="28"/>
        </w:rPr>
        <w:t>
      Результаты сверки по данным, указанным в части первой настоящего пункта, оформляются актом сверки, который подписывается уполномоченными представителями сторон, осуществляющими сверку.</w:t>
      </w:r>
      <w:r>
        <w:br/>
      </w:r>
      <w:r>
        <w:rPr>
          <w:rFonts w:ascii="Times New Roman"/>
          <w:b w:val="false"/>
          <w:i w:val="false"/>
          <w:color w:val="000000"/>
          <w:sz w:val="28"/>
        </w:rPr>
        <w:t>
      Брокер и (или) дилер ежедневно представляет центральному депозитарию ценных бумаг сведения о сумме денег каждого клиента, находящихся на счете, открытом в центральном депозитарии ценных бумаг и предназначенных для заключения сделок с эмиссионными ценными бумагами и иными финансовыми инструментами.».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Председатель</w:t>
      </w:r>
      <w:r>
        <w:br/>
      </w:r>
      <w:r>
        <w:rPr>
          <w:rFonts w:ascii="Times New Roman"/>
          <w:b w:val="false"/>
          <w:i w:val="false"/>
          <w:color w:val="000000"/>
          <w:sz w:val="28"/>
        </w:rPr>
        <w:t>
      </w:t>
      </w:r>
      <w:r>
        <w:rPr>
          <w:rFonts w:ascii="Times New Roman"/>
          <w:b w:val="false"/>
          <w:i/>
          <w:color w:val="000000"/>
          <w:sz w:val="28"/>
        </w:rPr>
        <w:t>Национального Банка</w:t>
      </w:r>
      <w:r>
        <w:rPr>
          <w:rFonts w:ascii="Times New Roman"/>
          <w:b w:val="false"/>
          <w:i w:val="false"/>
          <w:color w:val="000000"/>
          <w:sz w:val="28"/>
        </w:rPr>
        <w:t>                        </w:t>
      </w:r>
      <w:r>
        <w:rPr>
          <w:rFonts w:ascii="Times New Roman"/>
          <w:b w:val="false"/>
          <w:i/>
          <w:color w:val="000000"/>
          <w:sz w:val="28"/>
        </w:rPr>
        <w:t>Г. Марченко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