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b3c" w14:textId="be13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подключение к электрическим сетям электроустановок потребителей с установленной мощностью свыше 100 кВт"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21 сентября 2012 года № 331. Зарегистрирован в Министерстве юстиции Республики Казахстан 3 октября 2012 года № 7972. Утратил силу приказом Заместителя Премьер-Министра Республики Казахстан - Министра индустрии и новых технологий Республики Казахстан от 2 июня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индустрии и новых технологий РК от 02.06.2014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сентября 2012 года № 331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
на подключение к электрическим сетям электроустановок</w:t>
      </w:r>
      <w:r>
        <w:br/>
      </w:r>
      <w:r>
        <w:rPr>
          <w:rFonts w:ascii="Times New Roman"/>
          <w:b/>
          <w:i w:val="false"/>
          <w:color w:val="000000"/>
        </w:rPr>
        <w:t>
потребителей с установленной мощностью свыше 100 кВт»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департаментами областей, городов Астаны и Алматы Комитета государственного энергетического надзора и контроля Министерства индустрии и новых технологий Республики Казахстан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процессе оказания государственной услуги участие других органов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3) пункта 10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кВт», утвержденного постановлением Правительства Республики Казахстан от 31 августа 2012 года № 1133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подключение к электрическим сетям электроустановок потребителей с установленной мощностью свыше 100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мотивированного ответа об отказе в предоставлении государственной услуги с указанием причин отказа.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 адресам, указанным в приложении 1 к Стандарту, в рабочие дни с 9.00 до 18.30 часов с перерывом на обед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предоставлении государственной услуги и предоставляемых документах размещены на интернет-ресурсе Комитета государственного энергетического надзора и контроля Министерства индустрии и новых технологий Республики Казахстан: www.kgen.gov.kz. и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департаментом: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получения документов получателя государственной услуги департамент направляет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перечень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в Департамент для получения государственной услуги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(время)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и места получения государственной услуги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отчество, подпись уполномоченного должностного лица, принявшего заявление на оформление документов.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регистрируются в базе данных Единой системы электронного документооборота Департамента с прикреплением сканированных копий всех документов, представленных получателем государственной услуги, а также в журнале учета обращений физических (юридических) лиц в день их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передаются руководству Департамента для наложения резолюции и определения ответственного лица,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с резолюцией директора Департамента направляются ответственному лицу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разрешение либо мотивированный ответ об отказе в предоставлении государственной услуги с указанием причин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оформленное разрешение или мотивированный ответ об отказе в предоставлении государственной услуги с указанием причин отказа подписывается директором Департамента, передается должностному лицу,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разрешение или мотивированный ответ об отказе в предоставлении государственной услуги с указанием причин отказа регистрируется, отправляется (выдается) получателю государственной услуги по почте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за документооборот.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подключение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    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781"/>
        <w:gridCol w:w="1888"/>
        <w:gridCol w:w="1696"/>
        <w:gridCol w:w="1909"/>
        <w:gridCol w:w="1696"/>
        <w:gridCol w:w="1696"/>
        <w:gridCol w:w="1506"/>
      </w:tblGrid>
      <w:tr>
        <w:trPr>
          <w:trHeight w:val="151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тооборот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–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2124"/>
        <w:gridCol w:w="2714"/>
        <w:gridCol w:w="3221"/>
        <w:gridCol w:w="3476"/>
      </w:tblGrid>
      <w:tr>
        <w:trPr>
          <w:trHeight w:val="945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4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 Выдача расписки о приеме документов (в течение дня)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дней)</w:t>
            </w:r>
          </w:p>
        </w:tc>
      </w:tr>
      <w:tr>
        <w:trPr>
          <w:trHeight w:val="30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выдача)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Альтернативный процесс в случае утверждения решения</w:t>
      </w:r>
      <w:r>
        <w:br/>
      </w:r>
      <w:r>
        <w:rPr>
          <w:rFonts w:ascii="Times New Roman"/>
          <w:b/>
          <w:i w:val="false"/>
          <w:color w:val="000000"/>
        </w:rPr>
        <w:t>
об отказе в представлении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4662"/>
        <w:gridCol w:w="3244"/>
        <w:gridCol w:w="3037"/>
      </w:tblGrid>
      <w:tr>
        <w:trPr>
          <w:trHeight w:val="1725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документооборот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20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(в течение дня)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  дня)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дней)</w:t>
            </w:r>
          </w:p>
        </w:tc>
      </w:tr>
      <w:tr>
        <w:trPr>
          <w:trHeight w:val="102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(выдача) 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дня)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подключение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     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 </w:t>
      </w:r>
      <w:r>
        <w:drawing>
          <wp:inline distT="0" distB="0" distL="0" distR="0">
            <wp:extent cx="6299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