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ad4f" w14:textId="aeea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услуг, оказываемых Агентством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21 сентября 2012 года № 243-ОД. Зарегистрирован в Министерстве юстиции Республики Казахстан 28 сентября 2012 года № 7951. Утратил силу приказом Председателя Агентства Республики Казахстан по регулированию естественных монополий от 3 марта 2014 года № 51-ОД.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регулированию естественных монополий от 03.03.2014 </w:t>
      </w:r>
      <w:r>
        <w:rPr>
          <w:rFonts w:ascii="Times New Roman"/>
          <w:b w:val="false"/>
          <w:i w:val="false"/>
          <w:color w:val="ff0000"/>
          <w:sz w:val="28"/>
        </w:rPr>
        <w:t>№ 51-ОД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лицензии, переоформление, выдача дубликатов лицензии на деятельность по покупке электрической энергии в целях энергоснабжения"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и исковой работы Агентства Республики Казахстан по регулированию естественных монополий (Аламан А.Т.):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 после официального опубликования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Досмухамбетову Б.И.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28"/>
        <w:gridCol w:w="172"/>
      </w:tblGrid>
      <w:tr>
        <w:trPr>
          <w:trHeight w:val="30" w:hRule="atLeast"/>
        </w:trPr>
        <w:tc>
          <w:tcPr>
            <w:tcW w:w="12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Р. 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 2012 год</w:t>
            </w:r>
          </w:p>
        </w:tc>
        <w:tc>
          <w:tcPr>
            <w:tcW w:w="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2012 года № 7951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на деятельность по эксплуатации магистральных газопроводов,</w:t>
      </w:r>
      <w:r>
        <w:br/>
      </w:r>
      <w:r>
        <w:rPr>
          <w:rFonts w:ascii="Times New Roman"/>
          <w:b/>
          <w:i w:val="false"/>
          <w:color w:val="000000"/>
        </w:rPr>
        <w:t>нефтепроводов, нефтепродуктопроводов"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Председателя Агентства РК по регулированию естественных монополий от 13.02.2013 </w:t>
      </w:r>
      <w:r>
        <w:rPr>
          <w:rFonts w:ascii="Times New Roman"/>
          <w:b w:val="false"/>
          <w:i w:val="false"/>
          <w:color w:val="ff0000"/>
          <w:sz w:val="28"/>
        </w:rPr>
        <w:t>№ 47-ОД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нефтепродуктопроводов" (далее – услуга) оказывается Агентством Республики Казахстан по регулированию естественных монополий и его территориальными органами (далее – услугодатель), через центры обслуживания населения (далее – центр), а также через веб-портал "электронного правительства" www.egov.kz или веб-портал "Е-лицензирование" www.elicense.kz.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нефтепродуктопроводов", утвержденного постановлением Правительства Республики Казахстан от 31 августа 2012 года № 1132 (далее – Стандарт).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структурно–функциональные единицы (далее - СФЕ) -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потребитель – физическое или юридическое лицо, которому оказывается электронная государственная услуга;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Пошаговые действия и решения услугодателя через ПЭП (диаграмма № 1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через услугодателя (диаграмма № 2 функционального взаимодействия при оказании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 - лицензирование" подлинности данных о зарегистрированном сотруднике услугодателя через логин и пароль;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 – лицензирование" сообщения об отказе в авторизации в связи с имеющими нарушениями в данных сотрудника услугодателя;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оператора Центра через ЦОН (диаграмма № 2) функционального взаимодействия при оказании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потребителем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услуги.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 "Е-лицензирование" www.elicense.kz.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потребителю предоставляется возможность просмотреть результаты обработки запроса следующим образом: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потребителем электронном носителе информации в формате PDF.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call-центра: (1414) либо по телефону информационно-справочной службы ЦОН: 8 (7172) 58–00–58.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АРМ ИС ЦОН;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оказания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нефтепродуктопроводов"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ПЭП 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услугодателя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ИС ЦОН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816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нефтепродуктопроводов"</w:t>
            </w:r>
          </w:p>
        </w:tc>
      </w:tr>
    </w:tbl>
    <w:bookmarkStart w:name="z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(процедур, функций, операций)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ПЭП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"/>
        <w:gridCol w:w="467"/>
        <w:gridCol w:w="1495"/>
        <w:gridCol w:w="783"/>
        <w:gridCol w:w="902"/>
        <w:gridCol w:w="902"/>
        <w:gridCol w:w="1495"/>
        <w:gridCol w:w="1496"/>
        <w:gridCol w:w="1496"/>
        <w:gridCol w:w="902"/>
        <w:gridCol w:w="902"/>
        <w:gridCol w:w="700"/>
        <w:gridCol w:w="666"/>
      </w:tblGrid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чатель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ЭЦП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ЭЦП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(запроса 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ние"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запрашиваемой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услуге.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587"/>
        <w:gridCol w:w="1882"/>
        <w:gridCol w:w="985"/>
        <w:gridCol w:w="1135"/>
        <w:gridCol w:w="1138"/>
        <w:gridCol w:w="1135"/>
        <w:gridCol w:w="1882"/>
        <w:gridCol w:w="1375"/>
        <w:gridCol w:w="926"/>
        <w:gridCol w:w="1137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ЮЛ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"Е-лицензирование"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"Е-лицензирование"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"Е-лицензирование"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ЮЛ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 "Е-лицензирование"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имеющимися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найдены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"/>
        <w:gridCol w:w="970"/>
        <w:gridCol w:w="1817"/>
        <w:gridCol w:w="881"/>
        <w:gridCol w:w="1016"/>
        <w:gridCol w:w="1015"/>
        <w:gridCol w:w="1818"/>
        <w:gridCol w:w="827"/>
        <w:gridCol w:w="1017"/>
        <w:gridCol w:w="1818"/>
        <w:gridCol w:w="1016"/>
      </w:tblGrid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ФЛ/ГБД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Центра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"Е-лицензирование"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"Е-лицензирование"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"Е-лицензирование" 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паролю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ФЛ/ГБД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"Е-лицензирование"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лицензия) 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отказа.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лицензии, переоформление,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 нефтепродуктопроводов"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качества и доступности оказания</w:t>
      </w:r>
      <w:r>
        <w:br/>
      </w:r>
      <w:r>
        <w:rPr>
          <w:rFonts w:ascii="Times New Roman"/>
          <w:b/>
          <w:i w:val="false"/>
          <w:color w:val="000000"/>
        </w:rPr>
        <w:t>услуги потребителям</w:t>
      </w:r>
    </w:p>
    <w:bookmarkEnd w:id="8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Форма анкеты для определения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электронной государственной 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2012 года № 7951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на 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>энергоснабжения"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Агентством Республики Казахстан по регулированию естественных монополий (далее – услугодатель), а также через веб-портал "электронного правительства" www.egov.kz или веб-портал "Е-лицензирование" www.elicense.kz (далее - ПЭП).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деятельность по покупке электрической энергии в целях энергоснабжения" (далее – услуга), утвержденного постановлением Правительства Республики Казахстан от 31 августа 2012 года № 1132.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-,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потребитель – физическое или юридическое лицо, которому оказывается электронная государственная услуга;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104"/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Схема, отражающая взаимосвязь между логической последовательностью действий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Схема, отражающая взаимосвязь между логической последовательностью действий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 - лицензирование" подлинности данных о зарегистрированном сотруднике услугодателя через логин и пароль;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 – лицензирование" сообщения об отказе в авторизации в связи с имеющими нарушениями в данных сотрудника услугодателя;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 "Е-лицензирование" www.elicense.kz.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потребителем магнитном носителе в формате Adobe Acrobat.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140"/>
    <w:bookmarkStart w:name="z16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потребитель;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услугодаель.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последовательности и взаимодействия административных действий (процедур)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Схема, отражающая взаимосвязь между логической последовательностью действий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качества и доступности оказания услуги потребителям,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уровня.+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1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ПЭП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813"/>
        <w:gridCol w:w="2830"/>
        <w:gridCol w:w="1176"/>
        <w:gridCol w:w="1723"/>
        <w:gridCol w:w="2545"/>
        <w:gridCol w:w="1721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в данных потребителя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отсутствием оплаты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 если есть нарушения в данных потребителя; 3–если авторизация прошла успешно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не оплатил, 6 – если оплатил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1609"/>
        <w:gridCol w:w="1054"/>
        <w:gridCol w:w="3503"/>
        <w:gridCol w:w="2578"/>
        <w:gridCol w:w="927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(подписания) запроса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сообщения об отказе в связи с не подтверждением подлинности ЭЦП потребителя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(подписание) запрос посредством ЭЦП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потребителя) в ИС "Е-лицензирование" и обработка запроса в ИС "Е-лицензирование"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 потребителя в ИС "Е-лицензирование"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рабочих дней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7– если в ЭЦП ошибка, 8 – если ЭЦП без ошибки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057"/>
        <w:gridCol w:w="3494"/>
        <w:gridCol w:w="1800"/>
        <w:gridCol w:w="1177"/>
        <w:gridCol w:w="3214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ФЛ/ГБД ЮЛ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ГБД "Е-лицензирование"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сотрудником услугодателя услуги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потребителя в ГБД ФЛ/ГБД ЮЛ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762"/>
        <w:gridCol w:w="4372"/>
        <w:gridCol w:w="3392"/>
        <w:gridCol w:w="1148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связи с имеющимися нарушениями в данных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 если в ИС ГБД "Е-лицензирование" отсутствуют данные по запросу, 9 – если данные по запросу найдены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1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последовательностью действий СФЕ</w:t>
      </w:r>
      <w:r>
        <w:br/>
      </w:r>
      <w:r>
        <w:rPr>
          <w:rFonts w:ascii="Times New Roman"/>
          <w:b/>
          <w:i w:val="false"/>
          <w:color w:val="000000"/>
        </w:rPr>
        <w:t>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ПЭП 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услугодателя 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77851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50546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качества и доступности оказания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потребителям, приведены в приложении</w:t>
      </w:r>
    </w:p>
    <w:bookmarkStart w:name="z1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 "качество" и "доступность" 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