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3429" w14:textId="d073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14 сентября 2012 года № 234-ОД. Зарегистрирован в Министерстве юстиции Республики Казахстан 28 сентября 2012 года № 7939. Утратил силу приказом Председателя Агентства Республики Казахстан по регулированию естественных монополий от 19 июля 2013 года № 215-ОД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19.07.2013 </w:t>
      </w:r>
      <w:r>
        <w:rPr>
          <w:rFonts w:ascii="Times New Roman"/>
          <w:b w:val="false"/>
          <w:i w:val="false"/>
          <w:color w:val="ff0000"/>
          <w:sz w:val="28"/>
        </w:rPr>
        <w:t>№ 215-ОД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14-1 Закона Республики Казахстан «О естественных монополиях и регулируемых рынках»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2256, опубликованный в газете «Официальная газета» от 17 мая 2003 года № 20),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утверждения тарифов (цен, ставок сборов) и тарифных смет на регулируемые услуги (товары, работы) субъектов естественных монополий,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Правилами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(зарегистрированный в Реестре государственной регистрации нормативных правовых актов за № 2438) (далее - Особый порядок), иными нормативными правовыми актами в сферах естественных монополий и на регулируемых рынках,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создании или реорганизации субъекта естественной монополии, а также по истечении срока действия тарифов (цен, ставок сборов), утвержденных, в том числе дифференцированных тарифов, с ограничением срока действия, субъект естественной монополии представляет в уполномоченный орган заявку на утверждение тарифов (цен, ставок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Изменение тарифов (цен, ставок сборов), в том числе дифференцированных тарифов на регулируемые услуги (товары, работы) субъекта естественной монополии осуществляется в соответствии с Законом.»;</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Субъект естественной монополии не позднее, чем за девяносто календарных дней до введения тарифов (цен, ставок сборов) в действие вместе с заявкой предоставляет тарифную смету и проекты тарифов (цен, ставок сборов) на оказываемые им регулируемые услуги (товары, работы), а с заявкой на утверждение инвестиционного тарифа (цены, ставки сбора) - инвестиционный проект.</w:t>
      </w:r>
      <w:r>
        <w:br/>
      </w:r>
      <w:r>
        <w:rPr>
          <w:rFonts w:ascii="Times New Roman"/>
          <w:b w:val="false"/>
          <w:i w:val="false"/>
          <w:color w:val="000000"/>
          <w:sz w:val="28"/>
        </w:rPr>
        <w:t>
      В случае пересмотра тарифов (цен, ставок сборов) по инициативе уполномоченного органа, субъект естественной монополии в месячный срок со дня получения субъектом естественной монополии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К заявке на утверждение тарифов (цен, ставок сборов) прилагаются:</w:t>
      </w:r>
      <w:r>
        <w:br/>
      </w:r>
      <w:r>
        <w:rPr>
          <w:rFonts w:ascii="Times New Roman"/>
          <w:b w:val="false"/>
          <w:i w:val="false"/>
          <w:color w:val="000000"/>
          <w:sz w:val="28"/>
        </w:rPr>
        <w:t>
      1) пояснительная записка о необходимости утверждения тарифов (цен, ставок сборов);</w:t>
      </w:r>
      <w:r>
        <w:br/>
      </w:r>
      <w:r>
        <w:rPr>
          <w:rFonts w:ascii="Times New Roman"/>
          <w:b w:val="false"/>
          <w:i w:val="false"/>
          <w:color w:val="000000"/>
          <w:sz w:val="28"/>
        </w:rPr>
        <w:t>
      2) проект тарифа (цены, ставки сбора);</w:t>
      </w:r>
      <w:r>
        <w:br/>
      </w:r>
      <w:r>
        <w:rPr>
          <w:rFonts w:ascii="Times New Roman"/>
          <w:b w:val="false"/>
          <w:i w:val="false"/>
          <w:color w:val="000000"/>
          <w:sz w:val="28"/>
        </w:rPr>
        <w:t>
      3) </w:t>
      </w:r>
      <w:r>
        <w:rPr>
          <w:rFonts w:ascii="Times New Roman"/>
          <w:b w:val="false"/>
          <w:i w:val="false"/>
          <w:color w:val="000000"/>
          <w:sz w:val="28"/>
        </w:rPr>
        <w:t>бухгалтерский баланс</w:t>
      </w:r>
      <w:r>
        <w:rPr>
          <w:rFonts w:ascii="Times New Roman"/>
          <w:b w:val="false"/>
          <w:i w:val="false"/>
          <w:color w:val="000000"/>
          <w:sz w:val="28"/>
        </w:rPr>
        <w:t xml:space="preserve"> организации,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4) </w:t>
      </w:r>
      <w:r>
        <w:rPr>
          <w:rFonts w:ascii="Times New Roman"/>
          <w:b w:val="false"/>
          <w:i w:val="false"/>
          <w:color w:val="000000"/>
          <w:sz w:val="28"/>
        </w:rPr>
        <w:t>отчет о прибылях и убытках</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5) </w:t>
      </w:r>
      <w:r>
        <w:rPr>
          <w:rFonts w:ascii="Times New Roman"/>
          <w:b w:val="false"/>
          <w:i w:val="false"/>
          <w:color w:val="000000"/>
          <w:sz w:val="28"/>
        </w:rPr>
        <w:t>отчет о движении денежных средств</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6) </w:t>
      </w:r>
      <w:r>
        <w:rPr>
          <w:rFonts w:ascii="Times New Roman"/>
          <w:b w:val="false"/>
          <w:i w:val="false"/>
          <w:color w:val="000000"/>
          <w:sz w:val="28"/>
        </w:rPr>
        <w:t>отчет об изменениях в капитале</w:t>
      </w:r>
      <w:r>
        <w:rPr>
          <w:rFonts w:ascii="Times New Roman"/>
          <w:b w:val="false"/>
          <w:i w:val="false"/>
          <w:color w:val="000000"/>
          <w:sz w:val="28"/>
        </w:rPr>
        <w:t>, по форме утвержденной согласно приказу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w:t>
      </w:r>
      <w:r>
        <w:br/>
      </w:r>
      <w:r>
        <w:rPr>
          <w:rFonts w:ascii="Times New Roman"/>
          <w:b w:val="false"/>
          <w:i w:val="false"/>
          <w:color w:val="000000"/>
          <w:sz w:val="28"/>
        </w:rPr>
        <w:t>
      7) пояснительная записка к финансовой отчетности;</w:t>
      </w:r>
      <w:r>
        <w:br/>
      </w:r>
      <w:r>
        <w:rPr>
          <w:rFonts w:ascii="Times New Roman"/>
          <w:b w:val="false"/>
          <w:i w:val="false"/>
          <w:color w:val="000000"/>
          <w:sz w:val="28"/>
        </w:rPr>
        <w:t>
      8) отчет по труду (форма 1-т), утвержденный согласно подпункту 7) статьи 12 Закона Республики Казахстан «О государственной статистике»;</w:t>
      </w:r>
      <w:r>
        <w:br/>
      </w:r>
      <w:r>
        <w:rPr>
          <w:rFonts w:ascii="Times New Roman"/>
          <w:b w:val="false"/>
          <w:i w:val="false"/>
          <w:color w:val="000000"/>
          <w:sz w:val="28"/>
        </w:rPr>
        <w:t>
      9) отчет о размерах заработной платы работников по отдельным должностям и профессиям (2-Т проф), утвержденный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12 Закона Республики Казахстан «О государственной статистике»;</w:t>
      </w:r>
      <w:r>
        <w:br/>
      </w:r>
      <w:r>
        <w:rPr>
          <w:rFonts w:ascii="Times New Roman"/>
          <w:b w:val="false"/>
          <w:i w:val="false"/>
          <w:color w:val="000000"/>
          <w:sz w:val="28"/>
        </w:rPr>
        <w:t>
      10) отчет о производственно-финансовой деятельности предприятия (организации) по форме 1-ПФ, для субъектов малого предпринимательства основные показатели деятельности по форме 2-МП, утвержденный согласно </w:t>
      </w:r>
      <w:r>
        <w:rPr>
          <w:rFonts w:ascii="Times New Roman"/>
          <w:b w:val="false"/>
          <w:i w:val="false"/>
          <w:color w:val="000000"/>
          <w:sz w:val="28"/>
        </w:rPr>
        <w:t xml:space="preserve">подпункту 7) </w:t>
      </w:r>
      <w:r>
        <w:rPr>
          <w:rFonts w:ascii="Times New Roman"/>
          <w:b w:val="false"/>
          <w:i w:val="false"/>
          <w:color w:val="000000"/>
          <w:sz w:val="28"/>
        </w:rPr>
        <w:t>статьи 12 Закона Республики Казахстан «О государственной статистике»;</w:t>
      </w:r>
      <w:r>
        <w:br/>
      </w:r>
      <w:r>
        <w:rPr>
          <w:rFonts w:ascii="Times New Roman"/>
          <w:b w:val="false"/>
          <w:i w:val="false"/>
          <w:color w:val="000000"/>
          <w:sz w:val="28"/>
        </w:rPr>
        <w:t>
      11) отчет о наличии и движении основных средств и нематериальных активов (форма № 11), утвержденный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12 Закона Республики Казахстан «О государственной статистике»;</w:t>
      </w:r>
      <w:r>
        <w:br/>
      </w:r>
      <w:r>
        <w:rPr>
          <w:rFonts w:ascii="Times New Roman"/>
          <w:b w:val="false"/>
          <w:i w:val="false"/>
          <w:color w:val="000000"/>
          <w:sz w:val="28"/>
        </w:rPr>
        <w:t>
      12) сводные данные согласно приложению 1 к настоящим Правилам;</w:t>
      </w:r>
      <w:r>
        <w:br/>
      </w:r>
      <w:r>
        <w:rPr>
          <w:rFonts w:ascii="Times New Roman"/>
          <w:b w:val="false"/>
          <w:i w:val="false"/>
          <w:color w:val="000000"/>
          <w:sz w:val="28"/>
        </w:rPr>
        <w:t>
      13) отчет об исполнении тарифной сметы, с приложением материалов, обосновывающих фактические затраты, согласно приложению 28 к настоящим Правилам;</w:t>
      </w:r>
      <w:r>
        <w:br/>
      </w:r>
      <w:r>
        <w:rPr>
          <w:rFonts w:ascii="Times New Roman"/>
          <w:b w:val="false"/>
          <w:i w:val="false"/>
          <w:color w:val="000000"/>
          <w:sz w:val="28"/>
        </w:rPr>
        <w:t>
      14) расшифровка дебиторской и кредиторской задолженности;</w:t>
      </w:r>
      <w:r>
        <w:br/>
      </w:r>
      <w:r>
        <w:rPr>
          <w:rFonts w:ascii="Times New Roman"/>
          <w:b w:val="false"/>
          <w:i w:val="false"/>
          <w:color w:val="000000"/>
          <w:sz w:val="28"/>
        </w:rPr>
        <w:t>
      15) расшифровка прочих и других расходов;</w:t>
      </w:r>
      <w:r>
        <w:br/>
      </w:r>
      <w:r>
        <w:rPr>
          <w:rFonts w:ascii="Times New Roman"/>
          <w:b w:val="false"/>
          <w:i w:val="false"/>
          <w:color w:val="000000"/>
          <w:sz w:val="28"/>
        </w:rPr>
        <w:t>
      16) утвержденная инвестиционная программа (проект);</w:t>
      </w:r>
      <w:r>
        <w:br/>
      </w:r>
      <w:r>
        <w:rPr>
          <w:rFonts w:ascii="Times New Roman"/>
          <w:b w:val="false"/>
          <w:i w:val="false"/>
          <w:color w:val="000000"/>
          <w:sz w:val="28"/>
        </w:rPr>
        <w:t>
      17) сведения, подтверждающие наличие утвержденных уполномоченным органом и действующих на период рассмотрения заявки:</w:t>
      </w:r>
      <w:r>
        <w:br/>
      </w:r>
      <w:r>
        <w:rPr>
          <w:rFonts w:ascii="Times New Roman"/>
          <w:b w:val="false"/>
          <w:i w:val="false"/>
          <w:color w:val="000000"/>
          <w:sz w:val="28"/>
        </w:rPr>
        <w:t>
      нормативных технических потерь;</w:t>
      </w:r>
      <w:r>
        <w:br/>
      </w:r>
      <w:r>
        <w:rPr>
          <w:rFonts w:ascii="Times New Roman"/>
          <w:b w:val="false"/>
          <w:i w:val="false"/>
          <w:color w:val="000000"/>
          <w:sz w:val="28"/>
        </w:rPr>
        <w:t>
      нормативной численности персонала;</w:t>
      </w:r>
      <w:r>
        <w:br/>
      </w:r>
      <w:r>
        <w:rPr>
          <w:rFonts w:ascii="Times New Roman"/>
          <w:b w:val="false"/>
          <w:i w:val="false"/>
          <w:color w:val="000000"/>
          <w:sz w:val="28"/>
        </w:rPr>
        <w:t>
      технических и технологических норм расхода сырья, материалов, топлива, энергии;</w:t>
      </w:r>
      <w:r>
        <w:br/>
      </w:r>
      <w:r>
        <w:rPr>
          <w:rFonts w:ascii="Times New Roman"/>
          <w:b w:val="false"/>
          <w:i w:val="false"/>
          <w:color w:val="000000"/>
          <w:sz w:val="28"/>
        </w:rPr>
        <w:t>
      18) сведения, подтверждающие наличие согласованных с уполномоченным органом и действующих на период рассмотрения заявки:</w:t>
      </w:r>
      <w:r>
        <w:br/>
      </w: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аффилиированого с юридическими лицами с участием государства в уставном капитале);</w:t>
      </w:r>
      <w:r>
        <w:br/>
      </w: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учетной политики;</w:t>
      </w:r>
      <w:r>
        <w:br/>
      </w:r>
      <w:r>
        <w:rPr>
          <w:rFonts w:ascii="Times New Roman"/>
          <w:b w:val="false"/>
          <w:i w:val="false"/>
          <w:color w:val="000000"/>
          <w:sz w:val="28"/>
        </w:rPr>
        <w:t>
      19) решения конкурсных (тендерных) комиссий по закупке товаров, работ и услуг;</w:t>
      </w:r>
      <w:r>
        <w:br/>
      </w:r>
      <w:r>
        <w:rPr>
          <w:rFonts w:ascii="Times New Roman"/>
          <w:b w:val="false"/>
          <w:i w:val="false"/>
          <w:color w:val="000000"/>
          <w:sz w:val="28"/>
        </w:rPr>
        <w:t>
      20) сведения о результатах последней переоценки основных средств;</w:t>
      </w:r>
      <w:r>
        <w:br/>
      </w:r>
      <w:r>
        <w:rPr>
          <w:rFonts w:ascii="Times New Roman"/>
          <w:b w:val="false"/>
          <w:i w:val="false"/>
          <w:color w:val="000000"/>
          <w:sz w:val="28"/>
        </w:rPr>
        <w:t>
      21) расчет амортизационных отчислений с указанием сроков эксплуатации основных средств;</w:t>
      </w:r>
      <w:r>
        <w:br/>
      </w:r>
      <w:r>
        <w:rPr>
          <w:rFonts w:ascii="Times New Roman"/>
          <w:b w:val="false"/>
          <w:i w:val="false"/>
          <w:color w:val="000000"/>
          <w:sz w:val="28"/>
        </w:rPr>
        <w:t>
      22) сведения о фактически произведенных расходах, которые в соответствии с Особым порядком не учитываются при формировании тарифов (цен, ставок сборов);</w:t>
      </w:r>
      <w:r>
        <w:br/>
      </w:r>
      <w:r>
        <w:rPr>
          <w:rFonts w:ascii="Times New Roman"/>
          <w:b w:val="false"/>
          <w:i w:val="false"/>
          <w:color w:val="000000"/>
          <w:sz w:val="28"/>
        </w:rPr>
        <w:t>
      23)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r>
        <w:br/>
      </w:r>
      <w:r>
        <w:rPr>
          <w:rFonts w:ascii="Times New Roman"/>
          <w:b w:val="false"/>
          <w:i w:val="false"/>
          <w:color w:val="000000"/>
          <w:sz w:val="28"/>
        </w:rPr>
        <w:t>
      24) данные о проектной мощности субъекта естественной монополии и о фактическом ее использовании;</w:t>
      </w:r>
      <w:r>
        <w:br/>
      </w:r>
      <w:r>
        <w:rPr>
          <w:rFonts w:ascii="Times New Roman"/>
          <w:b w:val="false"/>
          <w:i w:val="false"/>
          <w:color w:val="000000"/>
          <w:sz w:val="28"/>
        </w:rPr>
        <w:t>
      25) проект тарифной сметы в соответствии с требованиями Особого порядка по форме, указанной в приложениях 2-27 и 29 к настоящим Правилам;</w:t>
      </w:r>
      <w:r>
        <w:br/>
      </w:r>
      <w:r>
        <w:rPr>
          <w:rFonts w:ascii="Times New Roman"/>
          <w:b w:val="false"/>
          <w:i w:val="false"/>
          <w:color w:val="000000"/>
          <w:sz w:val="28"/>
        </w:rPr>
        <w:t>
      26) информацию об использовании чистого дохода от регулируемых услуг (товаров, работ);</w:t>
      </w:r>
      <w:r>
        <w:br/>
      </w:r>
      <w:r>
        <w:rPr>
          <w:rFonts w:ascii="Times New Roman"/>
          <w:b w:val="false"/>
          <w:i w:val="false"/>
          <w:color w:val="000000"/>
          <w:sz w:val="28"/>
        </w:rPr>
        <w:t>
      27) информацию об использовании амортизационных отчислений;</w:t>
      </w:r>
      <w:r>
        <w:br/>
      </w:r>
      <w:r>
        <w:rPr>
          <w:rFonts w:ascii="Times New Roman"/>
          <w:b w:val="false"/>
          <w:i w:val="false"/>
          <w:color w:val="000000"/>
          <w:sz w:val="28"/>
        </w:rPr>
        <w:t>
      28) планы мероприятий по ликвидации сверхнормативных потерь в случае их наличия, а также по снижению нормативных технических потерь на величину и в сроки, определенные уполномоченным органом и действующие на период рассмотрения заявки, которые содержат данные и расчет экономического эффекта (представляется субъектами естественных монополий, оказывающих регулируемые услуги в сферах передачи и (или) распределения электрической и (или) тепловой энергии, водохозяйственной системы, транспортировки нефти по магистральным трубопроводам, по хранению, транспортировке товарного газа по соединительным, магистральным газопроводам и (или) газораспределительным системам, а также транспортировке сырого газа по соединительным газопроводам);</w:t>
      </w:r>
      <w:r>
        <w:br/>
      </w:r>
      <w:r>
        <w:rPr>
          <w:rFonts w:ascii="Times New Roman"/>
          <w:b w:val="false"/>
          <w:i w:val="false"/>
          <w:color w:val="000000"/>
          <w:sz w:val="28"/>
        </w:rPr>
        <w:t>
      29) заключения финансовой и технической экспертиз.»;</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«10. Прилагаемые к заявке расчеты и обосновывающие материалы составляются в соответствии со следующими требованиями:»;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r>
        <w:br/>
      </w:r>
      <w:r>
        <w:rPr>
          <w:rFonts w:ascii="Times New Roman"/>
          <w:b w:val="false"/>
          <w:i w:val="false"/>
          <w:color w:val="000000"/>
          <w:sz w:val="28"/>
        </w:rPr>
        <w:t>
      субъект естественной монополии в течение 15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4 квартала, предшествующие подаче заявки;»;</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Уполномоченный орган в течение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w:t>
      </w:r>
      <w:r>
        <w:br/>
      </w: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r>
        <w:br/>
      </w:r>
      <w:r>
        <w:rPr>
          <w:rFonts w:ascii="Times New Roman"/>
          <w:b w:val="false"/>
          <w:i w:val="false"/>
          <w:color w:val="000000"/>
          <w:sz w:val="28"/>
        </w:rPr>
        <w:t>
      1) нарушение сроков представления заявки;</w:t>
      </w:r>
      <w:r>
        <w:br/>
      </w:r>
      <w:r>
        <w:rPr>
          <w:rFonts w:ascii="Times New Roman"/>
          <w:b w:val="false"/>
          <w:i w:val="false"/>
          <w:color w:val="000000"/>
          <w:sz w:val="28"/>
        </w:rPr>
        <w:t>
      2) непредставление документов, указанных в пунктах 7, 8, 8-1 и 8-3 настоящих Правил;</w:t>
      </w:r>
      <w:r>
        <w:br/>
      </w:r>
      <w:r>
        <w:rPr>
          <w:rFonts w:ascii="Times New Roman"/>
          <w:b w:val="false"/>
          <w:i w:val="false"/>
          <w:color w:val="000000"/>
          <w:sz w:val="28"/>
        </w:rPr>
        <w:t>
      3) отсутствие у субъекта естественной монополии утвержденных и (или) согласованных уполномоченным органом и действующих на период рассмотрения заявки:</w:t>
      </w:r>
      <w:r>
        <w:br/>
      </w:r>
      <w:r>
        <w:rPr>
          <w:rFonts w:ascii="Times New Roman"/>
          <w:b w:val="false"/>
          <w:i w:val="false"/>
          <w:color w:val="000000"/>
          <w:sz w:val="28"/>
        </w:rPr>
        <w:t>
      нормативных технических потерь;</w:t>
      </w:r>
      <w:r>
        <w:br/>
      </w:r>
      <w:r>
        <w:rPr>
          <w:rFonts w:ascii="Times New Roman"/>
          <w:b w:val="false"/>
          <w:i w:val="false"/>
          <w:color w:val="000000"/>
          <w:sz w:val="28"/>
        </w:rPr>
        <w:t>
      нормативной численности персонала;</w:t>
      </w:r>
      <w:r>
        <w:br/>
      </w:r>
      <w:r>
        <w:rPr>
          <w:rFonts w:ascii="Times New Roman"/>
          <w:b w:val="false"/>
          <w:i w:val="false"/>
          <w:color w:val="000000"/>
          <w:sz w:val="28"/>
        </w:rPr>
        <w:t>
      технических и технологических норм расхода сырья, материалов, топлива, энергии;</w:t>
      </w:r>
      <w:r>
        <w:br/>
      </w:r>
      <w:r>
        <w:rPr>
          <w:rFonts w:ascii="Times New Roman"/>
          <w:b w:val="false"/>
          <w:i w:val="false"/>
          <w:color w:val="000000"/>
          <w:sz w:val="28"/>
        </w:rPr>
        <w:t>
      штатного расписания и предельного уровня оплаты труда руководящих работников административного персонала (субъекта естественной монополии, являющегося юридическим лицом с участием государства в уставном капитале или аффилиированного с юридическими лицами с участием государства в уставном капитале);</w:t>
      </w:r>
      <w:r>
        <w:br/>
      </w:r>
      <w:r>
        <w:rPr>
          <w:rFonts w:ascii="Times New Roman"/>
          <w:b w:val="false"/>
          <w:i w:val="false"/>
          <w:color w:val="000000"/>
          <w:sz w:val="28"/>
        </w:rPr>
        <w:t>
      годовой сметы затрат, направленной на текущие и капитальные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учетной политики;</w:t>
      </w:r>
      <w:r>
        <w:br/>
      </w:r>
      <w:r>
        <w:rPr>
          <w:rFonts w:ascii="Times New Roman"/>
          <w:b w:val="false"/>
          <w:i w:val="false"/>
          <w:color w:val="000000"/>
          <w:sz w:val="28"/>
        </w:rPr>
        <w:t>
      4) несоответствие представленных документов пункту 10 настоящих Правил;</w:t>
      </w:r>
      <w:r>
        <w:br/>
      </w: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за исключением случаев обращения субъекта естественной монополии с заявкой на утверждение инвестиционного тарифа;</w:t>
      </w:r>
      <w:r>
        <w:br/>
      </w:r>
      <w:r>
        <w:rPr>
          <w:rFonts w:ascii="Times New Roman"/>
          <w:b w:val="false"/>
          <w:i w:val="false"/>
          <w:color w:val="000000"/>
          <w:sz w:val="28"/>
        </w:rPr>
        <w:t>
      6) предоставление документов, содержащих недостоверную информацию.»;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«11-1. При отказе в принятии заявки к рассмотрению по указанным причинам субъект естественной монополии обращается в уполномоченный орган с заявкой не ранее чем за тридцать календарных дней с момента отказа.»;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r>
        <w:br/>
      </w: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Проекты тарифов (цен, ставок сборов), инвестиционных тарифов (цен, ставок сборов), в том числе дифференцированных на регулируемые услуги (товары, работы) субъектов естественных монополий рассматриваются уполномоченным органом в течение пятидесяти пяти календарных дней при условии представления экономически обоснованных расчетов в соответствии с требованиями уполномоченного органа. Срок рассмотрения проектов тарифов (цен, ставок сборов), инвестиционных тарифов (цен, ставок сборов), в том числе дифференцированных исчисляется с момента подачи заявки.</w:t>
      </w:r>
      <w:r>
        <w:br/>
      </w:r>
      <w:r>
        <w:rPr>
          <w:rFonts w:ascii="Times New Roman"/>
          <w:b w:val="false"/>
          <w:i w:val="false"/>
          <w:color w:val="000000"/>
          <w:sz w:val="28"/>
        </w:rPr>
        <w:t>
      Проекты тарифов (цен, ставок сборов)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уполномоченным органом в течение десяти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В случае необходимости уполномоченный орган запрашивает дополнительную информацию с указанием сроков ее предоставления о деятельности субъекта естественной монополии в компетентных органах и у самого субъекта естественной монополии.</w:t>
      </w:r>
      <w:r>
        <w:br/>
      </w:r>
      <w:r>
        <w:rPr>
          <w:rFonts w:ascii="Times New Roman"/>
          <w:b w:val="false"/>
          <w:i w:val="false"/>
          <w:color w:val="000000"/>
          <w:sz w:val="28"/>
        </w:rPr>
        <w:t>
      В случае непредставления субъектом естественной монополии требуемой информации в сроки, установленные уполномоченным органом, или представления ее не в полном объеме, уполномоченный орган при формировании тарифов (цен, ставок сборов) не учитывает данные, в обоснование которых не представлена информация.»;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Решение об утверждении или отказе в утверждении новых тарифов (цен, ставок сборов), инвестиционных тарифов (цен, ставок сборов) направляется уполномоченным органом субъекту естественной монополии не позднее тридцати пяти календарных дней до момента введения их в 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Субъект естественной монополии доводит до сведения потребителя информацию об изменении тарифов (цен, ставок сборов), утверждении дифференцированных и инвестиционных тарифов (цен, ставок сборов) не позднее, чем за тридцать календарных дней до введения их в действие.</w:t>
      </w:r>
      <w:r>
        <w:br/>
      </w:r>
      <w:r>
        <w:rPr>
          <w:rFonts w:ascii="Times New Roman"/>
          <w:b w:val="false"/>
          <w:i w:val="false"/>
          <w:color w:val="000000"/>
          <w:sz w:val="28"/>
        </w:rPr>
        <w:t>
      В случае изменения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При принятии решения уполномоченным органом об утверждении тарифов (цен, ставок сборов) в виде чрезвычайных регулирующих мер требования пунктов 6, 15, 19, 20, 22 настоящих Правил не распространяются.»;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Субъект естественной монополии не позднее, чем за шестьдесят календарных дней до конца текущего года может обратиться в уполномоченный орган с предложением о корректировке тарифной сметы.»;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Уполномоченный орган рассматривает документы по корректировке тарифной сметы в течение тридцати календарных дней с момента представления.»;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«29-2. Для утверждения тарифа с применением метода сравнительного анализа РЭК ежегодно не позднее 31 августа предоставляет:</w:t>
      </w:r>
      <w:r>
        <w:br/>
      </w:r>
      <w:r>
        <w:rPr>
          <w:rFonts w:ascii="Times New Roman"/>
          <w:b w:val="false"/>
          <w:i w:val="false"/>
          <w:color w:val="000000"/>
          <w:sz w:val="28"/>
        </w:rPr>
        <w:t>
      1) в уполномоченный орган информацию о производственных и финансовых показателях с приложением обосновывающих материалов (по форме согласно приложению 31 к настоящим Правилам);</w:t>
      </w:r>
      <w:r>
        <w:br/>
      </w:r>
      <w:r>
        <w:rPr>
          <w:rFonts w:ascii="Times New Roman"/>
          <w:b w:val="false"/>
          <w:i w:val="false"/>
          <w:color w:val="000000"/>
          <w:sz w:val="28"/>
        </w:rPr>
        <w:t>
      2) в уполномоченный орган или его территориальные органы по месту включения в Государственный регистр субъектов естественных монополий следующую информацию и документы с приложением обосновывающих материалов:</w:t>
      </w:r>
      <w:r>
        <w:br/>
      </w:r>
      <w:r>
        <w:rPr>
          <w:rFonts w:ascii="Times New Roman"/>
          <w:b w:val="false"/>
          <w:i w:val="false"/>
          <w:color w:val="000000"/>
          <w:sz w:val="28"/>
        </w:rPr>
        <w:t>
      информацию о фактических затратах и объемах оказываемых услуг по передаче и распределению электрической энергии за предшествующий календарный год;</w:t>
      </w:r>
      <w:r>
        <w:br/>
      </w:r>
      <w:r>
        <w:rPr>
          <w:rFonts w:ascii="Times New Roman"/>
          <w:b w:val="false"/>
          <w:i w:val="false"/>
          <w:color w:val="000000"/>
          <w:sz w:val="28"/>
        </w:rPr>
        <w:t>
      информацию о планируемых затратах и объемах оказываемых услуг по передаче и распределению электрической энергии на предстоящие три года;</w:t>
      </w:r>
      <w:r>
        <w:br/>
      </w:r>
      <w:r>
        <w:rPr>
          <w:rFonts w:ascii="Times New Roman"/>
          <w:b w:val="false"/>
          <w:i w:val="false"/>
          <w:color w:val="000000"/>
          <w:sz w:val="28"/>
        </w:rPr>
        <w:t>
      сведения об утвержденной инвестиционной программе (проекте) на предстоящие три года;</w:t>
      </w:r>
      <w:r>
        <w:br/>
      </w:r>
      <w:r>
        <w:rPr>
          <w:rFonts w:ascii="Times New Roman"/>
          <w:b w:val="false"/>
          <w:i w:val="false"/>
          <w:color w:val="000000"/>
          <w:sz w:val="28"/>
        </w:rPr>
        <w:t>
      план мероприятий по ликвидации сверхнормативных потерь при их наличии;</w:t>
      </w:r>
      <w:r>
        <w:br/>
      </w:r>
      <w:r>
        <w:rPr>
          <w:rFonts w:ascii="Times New Roman"/>
          <w:b w:val="false"/>
          <w:i w:val="false"/>
          <w:color w:val="000000"/>
          <w:sz w:val="28"/>
        </w:rPr>
        <w:t>
      сведения об утвержденных нормативных технических потерях на предстоящие три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«29-3. РЭК доводит до сведения потребителя информацию об изменении тарифа не позднее чем за тридцать календарных дней до введения его в действие за исключением тарифа, утвержденного в качестве чрезвычайной регулирующей меры, информация об изменении которого доводится до сведения потребителя не позднее чем за пять календарных дней до введения его в действие.»;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Уполномоченный орган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и регулируемых рынках, в части неисполнения утвержденной тарифной сметы, а равно непредставления проекта и (или) отчета об исполнении тарифной сметы рассматривает возможность принятия одного из следующих действий:</w:t>
      </w:r>
      <w:r>
        <w:br/>
      </w:r>
      <w:r>
        <w:rPr>
          <w:rFonts w:ascii="Times New Roman"/>
          <w:b w:val="false"/>
          <w:i w:val="false"/>
          <w:color w:val="000000"/>
          <w:sz w:val="28"/>
        </w:rPr>
        <w:t>
      1) инициирование изменений действующей тарифной сметы;</w:t>
      </w:r>
      <w:r>
        <w:br/>
      </w: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r>
        <w:br/>
      </w:r>
      <w:r>
        <w:rPr>
          <w:rFonts w:ascii="Times New Roman"/>
          <w:b w:val="false"/>
          <w:i w:val="false"/>
          <w:color w:val="000000"/>
          <w:sz w:val="28"/>
        </w:rPr>
        <w:t>
      3) установление временного компенсирующего тарифа.»;</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сводного анализа Агентства Республики Казахстан по регулированию естественных монополий (Мартыненко А. В.) обеспечить:</w:t>
      </w:r>
      <w:r>
        <w:br/>
      </w:r>
      <w:r>
        <w:rPr>
          <w:rFonts w:ascii="Times New Roman"/>
          <w:b w:val="false"/>
          <w:i w:val="false"/>
          <w:color w:val="000000"/>
          <w:sz w:val="28"/>
        </w:rPr>
        <w:t>
</w:t>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(Сулейменова Р. Е.)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сведений об опубликовании в Юридический департамент Агентства Республики Казахстан по регулированию естественных монополий (Метенова С.С.);</w:t>
      </w:r>
      <w:r>
        <w:br/>
      </w:r>
      <w:r>
        <w:rPr>
          <w:rFonts w:ascii="Times New Roman"/>
          <w:b w:val="false"/>
          <w:i w:val="false"/>
          <w:color w:val="000000"/>
          <w:sz w:val="28"/>
        </w:rPr>
        <w:t>
</w:t>
      </w: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bookmarkStart w:name="z37"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М. Оспанов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