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5e9b" w14:textId="47c5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сфере частного предпринимательства за соблюдением законодательства Республики Казахстан о магистральном трубопроводе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нефти и газа Республики Казахстан от 30 июля 2012 года № 128 и и.о. Министра экономического развития и торговли Республики Казахстан от 31 июля 2012 года № 235. Зарегистрирован в Министерстве юстиции Республики Казахстан 10 августа 2012 года № 7835. Утратил силу совместным приказом и.о. Министра национальной экономики Республики Казахстан от 30 июня 2015 года № 478 и Министра энергетики Республики Казахстан от 22 июня 2015 года №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национальной экономики РК от 30.06.2015 № 478 и Министра энергетики Республики Казахстан от 22 июня 2015 года № 419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22 июня 2012 года «О магистральном трубопроводе»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сфере частного предпринимательства за соблюдением законодательства Республики Казахстан о магистральном трубопроводе.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нефтегазовом комплексе Министерства нефти и газа Республики Казахстан (Момышев Т.А.)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нефти и газа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Б. Толумбаев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июля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июля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нефти и газа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2012 года № 128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и.о. Министра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2012 года № 235 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 за соблюдением</w:t>
      </w:r>
      <w:r>
        <w:br/>
      </w:r>
      <w:r>
        <w:rPr>
          <w:rFonts w:ascii="Times New Roman"/>
          <w:b/>
          <w:i w:val="false"/>
          <w:color w:val="000000"/>
        </w:rPr>
        <w:t>
законодательства Республики Казахстан о магистральном</w:t>
      </w:r>
      <w:r>
        <w:br/>
      </w:r>
      <w:r>
        <w:rPr>
          <w:rFonts w:ascii="Times New Roman"/>
          <w:b/>
          <w:i w:val="false"/>
          <w:color w:val="000000"/>
        </w:rPr>
        <w:t>
трубопроводе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Проверочный лист с изменением, внесенным совместным приказом Министра нефти и газа РК от 11.07.2013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регионального развития РК от 16.07.2013 № 135/НҚ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предпринимательства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БИН, ИНН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местонахождение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5954"/>
        <w:gridCol w:w="2478"/>
        <w:gridCol w:w="2458"/>
        <w:gridCol w:w="2248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(+)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(-)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(+)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в уполномоченный орган в установленный срок отчета о фактическом исполнении графика транспортировки нефти с указанием объемов и направлений транспортировки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лицензии в области магистрального трубопровода в соответствии со статьей 12 Закона Республики Казахстан «О лицензировании»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на магистральном трубопроводе, проложенном в морской акватории средств для предупреждения аварий, а также запорной арматуры, которая в случае аварии или при ремонтных работах позволяла бы отключать магистральный трубопровод, проложенный в морской акватории, от объектов морской добычи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порядка очередности предоставления услуг по транспортировке нефти и (или) нефтепродуктов по магистральному трубопроводу при ограниченной пропускной мощности магистрального трубопровода, установленного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24 Закона Республики Казахстан «О магистральном трубопроводе»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услуг по транспортировке нефти с соблюдением действующих маршрутов транспортировки нефти в системе магистральных трубопроводов в соответствии с графиком транспортировки нефти по магистральным нефтепроводам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_______________ 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(должность)         (Ф.И.О.)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выявления нарушений требований указываются номер и дата составления предписания (№ _______ от "__" __________ 20__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Ознакомлен (согласен/не согласен) 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(Ф.И.О.)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"__" 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проверки проверяемый субъект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(наименование субъекта)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группу (отметить знаком "+"):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8"/>
        <w:gridCol w:w="4250"/>
        <w:gridCol w:w="5062"/>
      </w:tblGrid>
      <w:tr>
        <w:trPr>
          <w:trHeight w:val="51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 степени риска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 степени риска</w:t>
            </w:r>
          </w:p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 степени риска</w:t>
            </w:r>
          </w:p>
        </w:tc>
      </w:tr>
      <w:tr>
        <w:trPr>
          <w:trHeight w:val="69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33"/>
            </w:tblGrid>
            <w:tr>
              <w:trPr>
                <w:trHeight w:val="30" w:hRule="atLeast"/>
              </w:trPr>
              <w:tc>
                <w:tcPr>
                  <w:tcW w:w="7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3"/>
            </w:tblGrid>
            <w:tr>
              <w:trPr>
                <w:trHeight w:val="30" w:hRule="atLeast"/>
              </w:trPr>
              <w:tc>
                <w:tcPr>
                  <w:tcW w:w="8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53"/>
            </w:tblGrid>
            <w:tr>
              <w:trPr>
                <w:trHeight w:val="30" w:hRule="atLeast"/>
              </w:trPr>
              <w:tc>
                <w:tcPr>
                  <w:tcW w:w="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          (подпись)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 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(должность)          (подпись)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      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