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324" w14:textId="b93e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 17-ОД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23 июля 2012 года № 170-ОД. Зарегистрирован в Министерстве юстиции Республики Казахстан 6 августа 2012 года № 7824.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23</w:t>
      </w:r>
      <w:r>
        <w:rPr>
          <w:rFonts w:ascii="Times New Roman"/>
          <w:b w:val="false"/>
          <w:i w:val="false"/>
          <w:color w:val="000000"/>
          <w:sz w:val="28"/>
        </w:rPr>
        <w:t xml:space="preserve">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 утвержденного постановлением Правительства Республики Казахстан от 18 сентября 2008 года № 864,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27 января 2003 года № 17-ОД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(зарегистрированный в Реестре государственной регистрации нормативных правовых актов за № 2154, опубликованный в Бюллетене нормативных правовых актов центральных исполнительных и иных государственных органов Республики Казахстан, 2003 год, № 14, ст. 829),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23</w:t>
      </w:r>
      <w:r>
        <w:rPr>
          <w:rFonts w:ascii="Times New Roman"/>
          <w:b w:val="false"/>
          <w:i w:val="false"/>
          <w:color w:val="000000"/>
          <w:sz w:val="28"/>
        </w:rPr>
        <w:t xml:space="preserve">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 утвержденного постановлением Правительства Республики Казахстан от 18 сентября 2008 года № 864,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приказываю:";</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Инструкция детализирует порядок расчета допустимого уровня прибыли (чистого дохода), входящего в состав тарифов (цен, ставок сбора)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в том числе осуществляющих свою деятельность по договорам концессии, и учитываемого при расчете и утверждении тарифов (цен, ставок сбора) или их предельных уровней";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"7) субъекты естественной монополии энергетического сектора - субъекты естественной монополии, осуществляющие следующие виды деятельности, отнесенные к сфере естественной монополии:</w:t>
      </w:r>
    </w:p>
    <w:p>
      <w:pPr>
        <w:spacing w:after="0"/>
        <w:ind w:left="0"/>
        <w:jc w:val="both"/>
      </w:pPr>
      <w:r>
        <w:rPr>
          <w:rFonts w:ascii="Times New Roman"/>
          <w:b w:val="false"/>
          <w:i w:val="false"/>
          <w:color w:val="000000"/>
          <w:sz w:val="28"/>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p>
      <w:pPr>
        <w:spacing w:after="0"/>
        <w:ind w:left="0"/>
        <w:jc w:val="both"/>
      </w:pPr>
      <w:r>
        <w:rPr>
          <w:rFonts w:ascii="Times New Roman"/>
          <w:b w:val="false"/>
          <w:i w:val="false"/>
          <w:color w:val="000000"/>
          <w:sz w:val="28"/>
        </w:rPr>
        <w:t>
      передача и (или) распределение электрической энергии;</w:t>
      </w:r>
    </w:p>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0"/>
        <w:ind w:left="0"/>
        <w:jc w:val="both"/>
      </w:pPr>
      <w:r>
        <w:rPr>
          <w:rFonts w:ascii="Times New Roman"/>
          <w:b w:val="false"/>
          <w:i w:val="false"/>
          <w:color w:val="000000"/>
          <w:sz w:val="28"/>
        </w:rPr>
        <w:t>
      техническая диспетчеризация отпуска в сеть и потребления электрической энергией;</w:t>
      </w:r>
    </w:p>
    <w:p>
      <w:pPr>
        <w:spacing w:after="0"/>
        <w:ind w:left="0"/>
        <w:jc w:val="both"/>
      </w:pPr>
      <w:r>
        <w:rPr>
          <w:rFonts w:ascii="Times New Roman"/>
          <w:b w:val="false"/>
          <w:i w:val="false"/>
          <w:color w:val="000000"/>
          <w:sz w:val="28"/>
        </w:rPr>
        <w:t>
      организация балансирования производства-потребления электрической энергии;";</w:t>
      </w:r>
    </w:p>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"7.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ними юридических лиц, за исключением Субъектов, осуществляющих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Start w:name="z8" w:id="4"/>
    <w:p>
      <w:pPr>
        <w:spacing w:after="0"/>
        <w:ind w:left="0"/>
        <w:jc w:val="both"/>
      </w:pPr>
      <w:r>
        <w:rPr>
          <w:rFonts w:ascii="Times New Roman"/>
          <w:b w:val="false"/>
          <w:i w:val="false"/>
          <w:color w:val="000000"/>
          <w:sz w:val="28"/>
        </w:rPr>
        <w:t>
      часть первую пункта 11 изложить в следующей редакции:</w:t>
      </w:r>
    </w:p>
    <w:bookmarkEnd w:id="4"/>
    <w:p>
      <w:pPr>
        <w:spacing w:after="0"/>
        <w:ind w:left="0"/>
        <w:jc w:val="both"/>
      </w:pPr>
      <w:r>
        <w:rPr>
          <w:rFonts w:ascii="Times New Roman"/>
          <w:b w:val="false"/>
          <w:i w:val="false"/>
          <w:color w:val="000000"/>
          <w:sz w:val="28"/>
        </w:rPr>
        <w:t>
      "11. Для Субъектов, осуществляющих вывод акций на рынок ценных бумаг в рамках программы "Народное IPO", а также для Субъектов, не указанных в пункте 7 настоящей Инструкции, основные средства которых получены в доверительное управление, имущественный найм, по лизингу или в результате иных сделок:";</w:t>
      </w:r>
    </w:p>
    <w:bookmarkStart w:name="z9" w:id="5"/>
    <w:p>
      <w:pPr>
        <w:spacing w:after="0"/>
        <w:ind w:left="0"/>
        <w:jc w:val="both"/>
      </w:pPr>
      <w:r>
        <w:rPr>
          <w:rFonts w:ascii="Times New Roman"/>
          <w:b w:val="false"/>
          <w:i w:val="false"/>
          <w:color w:val="000000"/>
          <w:sz w:val="28"/>
        </w:rPr>
        <w:t>
      пункт 13 изложить в следующей редакции:</w:t>
      </w:r>
    </w:p>
    <w:bookmarkEnd w:id="5"/>
    <w:p>
      <w:pPr>
        <w:spacing w:after="0"/>
        <w:ind w:left="0"/>
        <w:jc w:val="both"/>
      </w:pPr>
      <w:r>
        <w:rPr>
          <w:rFonts w:ascii="Times New Roman"/>
          <w:b w:val="false"/>
          <w:i w:val="false"/>
          <w:color w:val="000000"/>
          <w:sz w:val="28"/>
        </w:rPr>
        <w:t>
      "13. Для субъектов естественной монополии, оказывающих услуги водохозяйственных и (или) канализационных систем (магистральные и городские распределительные сети, водопроводы) ставка прибыли рассчитывается с помощью метода учета рисков инвестирования в данный сектор экономики по следующей формуле:</w:t>
      </w:r>
    </w:p>
    <w:p>
      <w:pPr>
        <w:spacing w:after="0"/>
        <w:ind w:left="0"/>
        <w:jc w:val="both"/>
      </w:pPr>
      <w:r>
        <w:rPr>
          <w:rFonts w:ascii="Times New Roman"/>
          <w:b w:val="false"/>
          <w:i w:val="false"/>
          <w:color w:val="000000"/>
          <w:sz w:val="28"/>
        </w:rPr>
        <w:t>
      СП = rf + ДП + ТР, где</w:t>
      </w:r>
    </w:p>
    <w:p>
      <w:pPr>
        <w:spacing w:after="0"/>
        <w:ind w:left="0"/>
        <w:jc w:val="both"/>
      </w:pPr>
      <w:r>
        <w:rPr>
          <w:rFonts w:ascii="Times New Roman"/>
          <w:b w:val="false"/>
          <w:i w:val="false"/>
          <w:color w:val="000000"/>
          <w:sz w:val="28"/>
        </w:rPr>
        <w:t>
      rf – безрисковая ставка, определяемая исходя из официальной ставки рефинансирования, установленной в соответствии с законодательством Республики Казахстан.</w:t>
      </w:r>
    </w:p>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p>
      <w:pPr>
        <w:spacing w:after="0"/>
        <w:ind w:left="0"/>
        <w:jc w:val="both"/>
      </w:pPr>
      <w:r>
        <w:rPr>
          <w:rFonts w:ascii="Times New Roman"/>
          <w:b w:val="false"/>
          <w:i w:val="false"/>
          <w:color w:val="000000"/>
          <w:sz w:val="28"/>
        </w:rPr>
        <w:t>
      ТР - технологический риск, характеризующий степень износа существующих водохозяйственных и (или) канализационных систем и длительное ремонтное недообслуживание, а также связанная с этим вероятность возникновения аварий и осуществление дополнительных расходов.</w:t>
      </w:r>
    </w:p>
    <w:p>
      <w:pPr>
        <w:spacing w:after="0"/>
        <w:ind w:left="0"/>
        <w:jc w:val="both"/>
      </w:pPr>
      <w:r>
        <w:rPr>
          <w:rFonts w:ascii="Times New Roman"/>
          <w:b w:val="false"/>
          <w:i w:val="false"/>
          <w:color w:val="000000"/>
          <w:sz w:val="28"/>
        </w:rPr>
        <w:t>
      ТР = (Z х P)/C х 100, где</w:t>
      </w:r>
    </w:p>
    <w:p>
      <w:pPr>
        <w:spacing w:after="0"/>
        <w:ind w:left="0"/>
        <w:jc w:val="both"/>
      </w:pPr>
      <w:r>
        <w:rPr>
          <w:rFonts w:ascii="Times New Roman"/>
          <w:b w:val="false"/>
          <w:i w:val="false"/>
          <w:color w:val="000000"/>
          <w:sz w:val="28"/>
        </w:rPr>
        <w:t>
      Z - затраты на ликвидацию последствий аварии в среднем за год на основании данных за 3-5 лет по Субъекту;</w:t>
      </w:r>
    </w:p>
    <w:p>
      <w:pPr>
        <w:spacing w:after="0"/>
        <w:ind w:left="0"/>
        <w:jc w:val="both"/>
      </w:pPr>
      <w:r>
        <w:rPr>
          <w:rFonts w:ascii="Times New Roman"/>
          <w:b w:val="false"/>
          <w:i w:val="false"/>
          <w:color w:val="000000"/>
          <w:sz w:val="28"/>
        </w:rPr>
        <w:t>
      P - вероятность наступления аварий на основании данных за 3-5 лет по Субъекту и определяется по следующей формуле:</w:t>
      </w:r>
    </w:p>
    <w:p>
      <w:pPr>
        <w:spacing w:after="0"/>
        <w:ind w:left="0"/>
        <w:jc w:val="both"/>
      </w:pPr>
      <w:r>
        <w:rPr>
          <w:rFonts w:ascii="Times New Roman"/>
          <w:b w:val="false"/>
          <w:i w:val="false"/>
          <w:color w:val="000000"/>
          <w:sz w:val="28"/>
        </w:rPr>
        <w:t>
      P = Ка /365, где</w:t>
      </w:r>
    </w:p>
    <w:p>
      <w:pPr>
        <w:spacing w:after="0"/>
        <w:ind w:left="0"/>
        <w:jc w:val="both"/>
      </w:pPr>
      <w:r>
        <w:rPr>
          <w:rFonts w:ascii="Times New Roman"/>
          <w:b w:val="false"/>
          <w:i w:val="false"/>
          <w:color w:val="000000"/>
          <w:sz w:val="28"/>
        </w:rPr>
        <w:t>
      Ка - среднегодовое значение количества аварий, повлекших прекращение оказания услуг, более чем на 24 часа;</w:t>
      </w:r>
    </w:p>
    <w:p>
      <w:pPr>
        <w:spacing w:after="0"/>
        <w:ind w:left="0"/>
        <w:jc w:val="both"/>
      </w:pPr>
      <w:r>
        <w:rPr>
          <w:rFonts w:ascii="Times New Roman"/>
          <w:b w:val="false"/>
          <w:i w:val="false"/>
          <w:color w:val="000000"/>
          <w:sz w:val="28"/>
        </w:rPr>
        <w:t>
      C - остаточная стоимость основных средств на начало отчетного периода (год, квартал) до проведения переоценки основных средств Субъекта.";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Для субъектов естественной монополии энергетического сектора, ставка прибыли рассчитывается с помощью метода средневзвешенной стоимости капитала (далее - СВСК) и определяется по формуле:</w:t>
      </w:r>
    </w:p>
    <w:p>
      <w:pPr>
        <w:spacing w:after="0"/>
        <w:ind w:left="0"/>
        <w:jc w:val="both"/>
      </w:pPr>
      <w:r>
        <w:rPr>
          <w:rFonts w:ascii="Times New Roman"/>
          <w:b w:val="false"/>
          <w:i w:val="false"/>
          <w:color w:val="000000"/>
          <w:sz w:val="28"/>
        </w:rPr>
        <w:t>
      СП (СВСК) = ((1 - g) x re) + (g x rd), где:</w:t>
      </w:r>
    </w:p>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both"/>
      </w:pPr>
      <w:r>
        <w:rPr>
          <w:rFonts w:ascii="Times New Roman"/>
          <w:b w:val="false"/>
          <w:i w:val="false"/>
          <w:color w:val="000000"/>
          <w:sz w:val="28"/>
        </w:rPr>
        <w:t>
            re - ставка вознаграждения на собственный капитал (%);</w:t>
      </w:r>
    </w:p>
    <w:p>
      <w:pPr>
        <w:spacing w:after="0"/>
        <w:ind w:left="0"/>
        <w:jc w:val="both"/>
      </w:pPr>
      <w:r>
        <w:rPr>
          <w:rFonts w:ascii="Times New Roman"/>
          <w:b w:val="false"/>
          <w:i w:val="false"/>
          <w:color w:val="000000"/>
          <w:sz w:val="28"/>
        </w:rPr>
        <w:t>
            rd - ставка вознаграждения на заемные средства (%).</w:t>
      </w:r>
    </w:p>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both"/>
      </w:pPr>
      <w:r>
        <w:rPr>
          <w:rFonts w:ascii="Times New Roman"/>
          <w:b w:val="false"/>
          <w:i w:val="false"/>
          <w:color w:val="000000"/>
          <w:sz w:val="28"/>
        </w:rPr>
        <w:t>
      rd = rf + ДП.</w:t>
      </w:r>
    </w:p>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p>
      <w:pPr>
        <w:spacing w:after="0"/>
        <w:ind w:left="0"/>
        <w:jc w:val="both"/>
      </w:pPr>
      <w:r>
        <w:rPr>
          <w:rFonts w:ascii="Times New Roman"/>
          <w:b w:val="false"/>
          <w:i w:val="false"/>
          <w:color w:val="000000"/>
          <w:sz w:val="28"/>
        </w:rPr>
        <w:t>
      re = rf + ra,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6ета-коэффициент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bx (15,7% - r</w:t>
      </w:r>
      <w:r>
        <w:rPr>
          <w:rFonts w:ascii="Times New Roman"/>
          <w:b w:val="false"/>
          <w:i w:val="false"/>
          <w:color w:val="000000"/>
          <w:vertAlign w:val="subscript"/>
        </w:rPr>
        <w:t>f</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 - отраслевой бета-коэффициент энергетического сектора.</w:t>
      </w:r>
    </w:p>
    <w:p>
      <w:pPr>
        <w:spacing w:after="0"/>
        <w:ind w:left="0"/>
        <w:jc w:val="both"/>
      </w:pPr>
      <w:r>
        <w:rPr>
          <w:rFonts w:ascii="Times New Roman"/>
          <w:b w:val="false"/>
          <w:i w:val="false"/>
          <w:color w:val="000000"/>
          <w:sz w:val="28"/>
        </w:rPr>
        <w:t>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осуществляющих вывод акций на рынок ценных бумаг в рамках программы "Народное IPO", для которых отраслевой бета-коэффициент принят на уровне 1,3.</w:t>
      </w:r>
    </w:p>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Start w:name="z11" w:id="6"/>
    <w:p>
      <w:pPr>
        <w:spacing w:after="0"/>
        <w:ind w:left="0"/>
        <w:jc w:val="both"/>
      </w:pPr>
      <w:r>
        <w:rPr>
          <w:rFonts w:ascii="Times New Roman"/>
          <w:b w:val="false"/>
          <w:i w:val="false"/>
          <w:color w:val="000000"/>
          <w:sz w:val="28"/>
        </w:rPr>
        <w:t>
      2. Департаменту стратегического планирования и сводного анализа Агентства Республики Казахстан по регулированию естественных монополий (Мартыненко А.В.) обеспечить:</w:t>
      </w:r>
    </w:p>
    <w:bookmarkEnd w:id="6"/>
    <w:bookmarkStart w:name="z12" w:id="7"/>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8"/>
    <w:bookmarkStart w:name="z14" w:id="9"/>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(Сулейменова Р.Е.) после государственной регистрации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1)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w:t>
      </w:r>
    </w:p>
    <w:bookmarkEnd w:id="10"/>
    <w:bookmarkStart w:name="z16" w:id="11"/>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11"/>
    <w:bookmarkStart w:name="z17" w:id="12"/>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заместителей Председателя Агентства Республики Казахстан по регулированию естественных монополий Шкарупа А.В. и Досмухамбетову Б.И.</w:t>
      </w:r>
    </w:p>
    <w:bookmarkEnd w:id="12"/>
    <w:bookmarkStart w:name="z18"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