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94e50" w14:textId="c894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расчета коэффициента зонирования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28 июня 2012 года № 239. Зарегистрирован в Министерстве юстиции Республики Казахстан 30 июля 2012 года № 7814. Утратил силу приказом Министра юстиции Республики Казахстан от 20 января 2016 года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юстиции РК от 20.01.2016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406 Кодекса Республики Казахстан «О налогах и других обязательных платежах в бюджет» (Налоговый кодекс),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коэффициента зонирования.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регистрационной службы и оказания правовой помощи Министерства юстиции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меры по размещению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юстиции Республики Казахстан Куставлетова Д.Р. и председателя Комитета регистрационной службы и оказания правовой помощи Министерства юстиции Республики Казахстан Ногайбекова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             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28 июня 2012 года № 239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Методика расчета коэффициента зонирования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расчета коэффициента зонирования (далее - Методика)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налогах и других обязательных платежах в бюджет» (Налоговый кодекс),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ноября 2000 года «Об оценочной деятельности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юстиции Республики Казахстан от 29 июня 2011 года № 243 «Об утверждении стандарта оценки «Базы и типы стоимости» (зарегистрированный в Реестре государственной регистрации нормативных правовых актов № 7114).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Настоящая Методика регламентирует расчет коэффициента зонирования, применяемого при расчете стоимости объектов недвижимости физических лиц, не используемых в предпринимательской деятельности для целей налогообложения,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статье 406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настоящей Методике используются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зонирование - определение территории земель с установлением их целевого назначения и режима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 зонирования (Кзон) – коэффициент, учитывающий месторасположение объекта налогообложения в населенном пункте, устанавливается уполномоченным государственным органом в сфере регистрации прав на недвижимое имущество по согласованию с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налоговая стоимость – стоимость, рассчитываемая на основе действующего налогового законодательства Республика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Расчет коэффициента зонирования предусматривает выполнение ряда последовательных взаимосвязанных действий: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разбиение территории города, района, поселка, села (аула) на оценочные участки или получение схемы зонирования земель, утвержденных местными представительными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состава факторов, формирующих стоимость недвижимости и количественных значений данных факторов;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установление для каждого оценочного участка факторов влияния, наложение факторов на оценочный участок и уточнение границ последних;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коэффициента относительной ценности территории для каждого оценочного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выполнении расчета коэффициента зонирования для определения налоговой стоимости следует использовать материалы технической документации архива уполномоченного органа в сфере регистрации прав на недвижимое имущество, а также допускается использование: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кадастровых карт учетных кварталов города,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государственных электронных баз данных и прочих материалов (документов);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постановлений и распоряжений местных исполнительных органов городов, районов, поселков, сел (аулов) по вопросам землепользования, оценки и налогообложения.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Наименование факторов и подфакторов относительной</w:t>
      </w:r>
      <w:r>
        <w:br/>
      </w:r>
      <w:r>
        <w:rPr>
          <w:rFonts w:ascii="Times New Roman"/>
          <w:b/>
          <w:i w:val="false"/>
          <w:color w:val="000000"/>
        </w:rPr>
        <w:t>
ценности недвижимости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оценочным участкам применяются факторы относительной ценности территории. При этом учитывается влияние следующих факторов: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доступность населения к центру города, района, поселка, села (аула), к объектам обслуживания городского,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обеспеченность централизованным инженерным оборудованием и благоустройством территории, транспортная доступность;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уровень развития сферы культурно-бытового обслуживания населения в пределах зоны или иной планировочной единицы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зон, имеющих особый правовой статус;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состояние окружающей среды, санитарные и микроклиматические условия;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инженерно-геологические условия строительства и степень подверженности разрушительным природным и другим воздействиям.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Каждая из названных групп факторов несет в себе достаточно большое количество информации. В целях более обоснованного определения коэффициента зонирования его влияния на ценность объектов недвижимости (территории населения) в них выделяются единичные подфакторы. Группы, факторы и подфакторы относительной ценности недвижимости и их значения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Влияние факторов первой группы определяется пешеходной доступностью к местам остановки городского и пригородного пассажирского транспорта и к центрам города и района, в том числе мест размещения услуг, создаваемых городским и районным общественным центром.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коэффициентов факторов и подфакторов второй группы принимаются в соответствии с удельным весом затрат на инженерное оборудование (по видам) территории города, района, поселка, села (аула), а также с учетом обеспеченности общественным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коэффициентов факторов и подфакторов третьей группы рассчитываются также, как и для второй группы, т.е. исходя из удельного веса затрат на отдельные виды учреждений культурно-бытового обслуживания повседневного пользования в составе общих затрат на жилую застройку.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Коэффициенты четвертой группы применяются к оценочным зонам, находящимся: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 </w:t>
      </w:r>
      <w:r>
        <w:rPr>
          <w:rFonts w:ascii="Times New Roman"/>
          <w:b w:val="false"/>
          <w:i w:val="false"/>
          <w:color w:val="000000"/>
          <w:sz w:val="28"/>
        </w:rPr>
        <w:t>заповедных территориях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территориях природоохранного, оздоровительного, рекреационного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пределах зон с </w:t>
      </w:r>
      <w:r>
        <w:rPr>
          <w:rFonts w:ascii="Times New Roman"/>
          <w:b w:val="false"/>
          <w:i w:val="false"/>
          <w:color w:val="000000"/>
          <w:sz w:val="28"/>
        </w:rPr>
        <w:t>ограниченными правами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застройки и на территориях, представляющих архитектурную, историческую, эстетическую ценность;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вблизи водных объектов, лесных массивов и на озелененных территориях общего пользования, представляющих ландшафтную ценность.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Коэффициенты применяются локально лишь к тем участкам населенного пункта, где имеется такая ценность.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Значение коэффициентов факторов и подфакторов пятой и шестой групп определяются как факторы негативного воздействия антропогенных процессов, состояние окружающей среды, санитарные, микроклиматические, инженерно-геологические условия, степень подверженности разрушительным природным и другим воздействиям.</w:t>
      </w:r>
    </w:p>
    <w:bookmarkEnd w:id="5"/>
    <w:bookmarkStart w:name="z4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Расчет коэффициентов зонирования</w:t>
      </w:r>
    </w:p>
    <w:bookmarkEnd w:id="6"/>
    <w:bookmarkStart w:name="z4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результате наложения факторов и подфакторов корректируются границы оценочных участков. На основании полученной информации выполняется описание каждого из перечисленных факторов для присвоения оценочной зоне значения каждого из действующих на ее территории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каждой оценочной зоне рассчитывается коэффициент зонирования относительной ценности недвижимости и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 зон = К1 + К2 + К3 + К4 – К5 – К6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К1, К2, К3, К4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группа значений повышающего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К5, К6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группа значений понижающего воздействия.</w:t>
      </w:r>
    </w:p>
    <w:bookmarkEnd w:id="7"/>
    <w:bookmarkStart w:name="z4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Методике расчета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коэффициента зонирования</w:t>
      </w:r>
    </w:p>
    <w:bookmarkEnd w:id="8"/>
    <w:bookmarkStart w:name="z4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Группы, факторы и подфакторы относительной ценности</w:t>
      </w:r>
      <w:r>
        <w:br/>
      </w:r>
      <w:r>
        <w:rPr>
          <w:rFonts w:ascii="Times New Roman"/>
          <w:b/>
          <w:i w:val="false"/>
          <w:color w:val="000000"/>
        </w:rPr>
        <w:t>
недвижимости и их значения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9"/>
        <w:gridCol w:w="9535"/>
        <w:gridCol w:w="1836"/>
      </w:tblGrid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Группы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(К)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факторов и подфакторов относительной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ценности недвижимости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Доступность населения к общественному центру,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объектам обслуживания общегородского,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значения.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0,80-1,20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Обеспеченность центральным инженерным оборудованием и благоустройством территории, транспортная доступность: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0,05-0,10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Канализация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Отопление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0,05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Газоснабжение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2.6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Твердое покрытие улиц и проездов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2.7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Доступность к остановкам общественного городского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пригородного пассажирского транспорта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Уровень развития сферы культурно-бытового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обслуживания населения при наличии: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0,10-0,15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Детских дошкольных учреждений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Общеобразовательных школ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0,15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торговли, общественного питания и бытового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 местного значения: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здравоохранения, культуры, искусства, спорта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Наличие зон, имеющих особый правовой статус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0,50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Состояние окружающей среды, санитарные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микроклиматические условия учитываются с понижающим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коэффициентом (минус):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воздушного бассейна, высокая загазованность,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задымленность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территории: наличие мусорных свалок, завалы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промышленными отходами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Загрязнение водного объекта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Нарушение шумового режима: наличие железнодорожных,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трамвайных путей, пассажирских вокзалов, портов, рынков,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 большегрузного транспорта и скоростные трассы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большим скоплением автотранспорта (отдаленность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 оценки не более 50 м.), авиалинии (отдаленность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объекта оценки не более 1000 м.)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Инженерно-геологические условия 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степень подверженности разрушительным природным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другим воздействиям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Отрицательные воздействия электромагнитных полей,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радиации (радиостанции, радиотелевизионные передающие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радиолокационные станции, воздушные высоковольтные 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электропередач)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  <w:tr>
        <w:trPr>
          <w:trHeight w:val="555" w:hRule="atLeast"/>
        </w:trPr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9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Подтопление, заболоченность, высокое состояние грунтовых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вод, сейсмичность, сели и прочие природные факторы.</w:t>
            </w:r>
          </w:p>
        </w:tc>
        <w:tc>
          <w:tcPr>
            <w:tcW w:w="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