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2e37" w14:textId="6a92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25 июля 2006 года № 66 "Об утверждении Правил выбора внешних управляющих активами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мая 2012 года № 181. Зарегистрировано в Министерстве юстиции Республики Казахстан 19 июля 2012 году № 7803. Утратило силу постановлением Правления Национального Банка Республики Казахстан от 30 мая 2016 года № 126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в целях совершенствования порядка выбора внешних управляющих активами Национального фонда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66 «Об утверждении Правил выбора внешних управляющих активами Национального фонда Республики Казахстан» (зарегистрированное в Реестре государственной регистрации нормативных правовых актов Республики Казахстан под № 4360)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выбора внешних управляющих активами Национального фонда Республики Казахстан, утвержденных 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«15-1. Если внешний управляющий, осуществляющий внешнее управление золотовалютными активами Национального Банка, удовлетворяет критериям, установленным пунктами 19-1 и 19-2 настоящих Правил, то по решению Полномочного представителя, Председателя или Заместителя Председателя, курирующего уполномоченное подразделение, его кандидатура выносится на рассмотрение Правления Национального Банка без проведения процедур, предусмотренных пунктами 16, 17, 18 и 19 настоящих Правил.»;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«35. Процедура оценки эффективности работы внешнего управляющего осуществляется в соответствии с показателями оценки эффективности работы внешнего управляющего, приведенными в приложении 4 к настоящим Правилам, и по результатам проведенного анализа Правлением Национального Банка либо Полномочным представителем принимается соответствующее решение о продолжении работы с данным внешним управляющим или о ее прекращении. Решение принимается на основе результатов внешнего управляющего за период управления в 3 (три)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«35-1. В случае если кумулятивная сверхдоходность, полученная внешним управляющим за прошлый период, отрицательная и ее абсолютное значение превышает абсолютное значение установленного лимита показателя изменчивости отклонения доходности (tracking error) по соответствующему мандату, то на рассмотрение Правления Национального Банка выносится вопрос о расторжении соглашения о доверительном управлении с данным внешним управляющим»;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«36. Если происходит нарушение лимита Фонда, передаваемого во внешнее управление ввиду слияния двух действующих внешних управляющих, уполномоченное подразделение вносит на рассмотрение Полномочного представителя вопрос о расторжении соглашения с одним из двух внешних управляющих, показавшим низкий результат согласно показателям оценки эффективности работы внешнего управляющего, приведенным в приложении 4 к настоящим Правилам. Указанное нарушение устраняется в течение 4 (четырех) месяцев со дня возникновения.»;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июня 2012 года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2012 года № 181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выбора внешних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управляющих активами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фонда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Показатели</w:t>
      </w:r>
      <w:r>
        <w:br/>
      </w:r>
      <w:r>
        <w:rPr>
          <w:rFonts w:ascii="Times New Roman"/>
          <w:b/>
          <w:i w:val="false"/>
          <w:color w:val="000000"/>
        </w:rPr>
        <w:t>
оценки эффективности работы внешнего управляющего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Основной целью является оценка и выставление баллов внешним управляющим согласно количественным и качественным показателям во избежание субъективности при оценке работы внешнего управляющего.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Количественные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Информационный коэффициент (Information ration)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4253"/>
      </w:tblGrid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(Information ration)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балла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0,5 - 1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балла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0 - 0,5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балла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балла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0,5 - 0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1 балла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1 - (-) 0,5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2 балла</w:t>
            </w:r>
          </w:p>
        </w:tc>
      </w:tr>
      <w:tr>
        <w:trPr>
          <w:trHeight w:val="3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&lt;(-) 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3 балла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Качественные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Передвижения персонала (Staff turnover);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497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Передвижения персонала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(Staff turnover)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&gt; 30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0,5 балла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5 - 30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 0,25 балла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0 - 5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балла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Операционный риск (Operational risk).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каждый факт нарушения инвестиционных ограничений вследствие операционной ошибки из оценки отнимается 0,2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систематического непредставления отчетности в указанные сроки из оценки отнимается 0,2 балла.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деловой этики (compliance with a Code of Business Ethics).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каждый факт нарушения внешним управляющим деловой этики из оценки отнимается 0,5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систематического несвоевременного исполнения поручений клиента из оценки отнимается 0,5 балла.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