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508e57" w14:textId="e508e5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нормативные правовые акты Республики Казахстан по вопросам субъектов рынка ценных бумаг и накопительных пенсионных фондов</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Правления Национального Банка Республики Казахстан от 25 мая 2012 года № 195. Зарегистрировано в Министерстве юстиции Республики Казахстан 5 июля 2012 года № 7789. Утратило силу постановлением Правления Национального Банка Республики Казахстан от 29 апреля 2016 года № 115</w:t>
      </w:r>
    </w:p>
    <w:p>
      <w:pPr>
        <w:spacing w:after="0"/>
        <w:ind w:left="0"/>
        <w:jc w:val="both"/>
      </w:pPr>
      <w:r>
        <w:rPr>
          <w:rFonts w:ascii="Times New Roman"/>
          <w:b w:val="false"/>
          <w:i w:val="false"/>
          <w:color w:val="ff0000"/>
          <w:sz w:val="28"/>
        </w:rPr>
        <w:t xml:space="preserve">      Сноска. Утратило силу постановлением Правления Национального Банка РК от 29.04.2016 </w:t>
      </w:r>
      <w:r>
        <w:rPr>
          <w:rFonts w:ascii="Times New Roman"/>
          <w:b w:val="false"/>
          <w:i w:val="false"/>
          <w:color w:val="ff0000"/>
          <w:sz w:val="28"/>
        </w:rPr>
        <w:t>№ 115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 w:id="0"/>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 июля 2003 года «О рынке ценных бумаг» Правление Национального Банка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Внести изменения и дополнения в некоторые нормативные правовые акты Республики Казахстан по вопросам субъектов рынка ценных бумаг и накопительных пенсионных фондов (далее – Изменения и дополнения)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r>
        <w:br/>
      </w:r>
      <w:r>
        <w:rPr>
          <w:rFonts w:ascii="Times New Roman"/>
          <w:b w:val="false"/>
          <w:i w:val="false"/>
          <w:color w:val="000000"/>
          <w:sz w:val="28"/>
        </w:rPr>
        <w:t>
</w:t>
      </w:r>
      <w:r>
        <w:rPr>
          <w:rFonts w:ascii="Times New Roman"/>
          <w:b w:val="false"/>
          <w:i w:val="false"/>
          <w:color w:val="000000"/>
          <w:sz w:val="28"/>
        </w:rPr>
        <w:t>
      2. Настоящее постановление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3. Абзац сороковой пункта 2 Изменений и дополнений действует до 1 января 2013 года.</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Председатель</w:t>
      </w:r>
      <w:r>
        <w:br/>
      </w:r>
      <w:r>
        <w:rPr>
          <w:rFonts w:ascii="Times New Roman"/>
          <w:b w:val="false"/>
          <w:i w:val="false"/>
          <w:color w:val="000000"/>
          <w:sz w:val="28"/>
        </w:rPr>
        <w:t>
      </w:t>
      </w:r>
      <w:r>
        <w:rPr>
          <w:rFonts w:ascii="Times New Roman"/>
          <w:b w:val="false"/>
          <w:i/>
          <w:color w:val="000000"/>
          <w:sz w:val="28"/>
        </w:rPr>
        <w:t>Национального Банка</w:t>
      </w:r>
      <w:r>
        <w:rPr>
          <w:rFonts w:ascii="Times New Roman"/>
          <w:b w:val="false"/>
          <w:i w:val="false"/>
          <w:color w:val="000000"/>
          <w:sz w:val="28"/>
        </w:rPr>
        <w:t>                        </w:t>
      </w:r>
      <w:r>
        <w:rPr>
          <w:rFonts w:ascii="Times New Roman"/>
          <w:b w:val="false"/>
          <w:i/>
          <w:color w:val="000000"/>
          <w:sz w:val="28"/>
        </w:rPr>
        <w:t>Г. Марченко</w:t>
      </w:r>
    </w:p>
    <w:bookmarkStart w:name="z5" w:id="1"/>
    <w:p>
      <w:pPr>
        <w:spacing w:after="0"/>
        <w:ind w:left="0"/>
        <w:jc w:val="both"/>
      </w:pPr>
      <w:r>
        <w:rPr>
          <w:rFonts w:ascii="Times New Roman"/>
          <w:b w:val="false"/>
          <w:i w:val="false"/>
          <w:color w:val="000000"/>
          <w:sz w:val="28"/>
        </w:rPr>
        <w:t xml:space="preserve">
Приложение             </w:t>
      </w:r>
      <w:r>
        <w:br/>
      </w:r>
      <w:r>
        <w:rPr>
          <w:rFonts w:ascii="Times New Roman"/>
          <w:b w:val="false"/>
          <w:i w:val="false"/>
          <w:color w:val="000000"/>
          <w:sz w:val="28"/>
        </w:rPr>
        <w:t xml:space="preserve">
к постановлению Правления   </w:t>
      </w:r>
      <w:r>
        <w:br/>
      </w:r>
      <w:r>
        <w:rPr>
          <w:rFonts w:ascii="Times New Roman"/>
          <w:b w:val="false"/>
          <w:i w:val="false"/>
          <w:color w:val="000000"/>
          <w:sz w:val="28"/>
        </w:rPr>
        <w:t xml:space="preserve">
Национального Банка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25 мая 2012 года № 195   </w:t>
      </w:r>
    </w:p>
    <w:bookmarkEnd w:id="1"/>
    <w:bookmarkStart w:name="z6" w:id="2"/>
    <w:p>
      <w:pPr>
        <w:spacing w:after="0"/>
        <w:ind w:left="0"/>
        <w:jc w:val="left"/>
      </w:pPr>
      <w:r>
        <w:rPr>
          <w:rFonts w:ascii="Times New Roman"/>
          <w:b/>
          <w:i w:val="false"/>
          <w:color w:val="000000"/>
        </w:rPr>
        <w:t xml:space="preserve"> 
Изменения и дополнения в некоторые нормативные</w:t>
      </w:r>
      <w:r>
        <w:br/>
      </w:r>
      <w:r>
        <w:rPr>
          <w:rFonts w:ascii="Times New Roman"/>
          <w:b/>
          <w:i w:val="false"/>
          <w:color w:val="000000"/>
        </w:rPr>
        <w:t>
правовые акты Республики Казахстан по вопросам</w:t>
      </w:r>
      <w:r>
        <w:br/>
      </w:r>
      <w:r>
        <w:rPr>
          <w:rFonts w:ascii="Times New Roman"/>
          <w:b/>
          <w:i w:val="false"/>
          <w:color w:val="000000"/>
        </w:rPr>
        <w:t>
субъектов рынка ценных бумаг и накопительных пенсионных фондов</w:t>
      </w:r>
    </w:p>
    <w:bookmarkEnd w:id="2"/>
    <w:bookmarkStart w:name="z7" w:id="3"/>
    <w:p>
      <w:pPr>
        <w:spacing w:after="0"/>
        <w:ind w:left="0"/>
        <w:jc w:val="both"/>
      </w:pPr>
      <w:r>
        <w:rPr>
          <w:rFonts w:ascii="Times New Roman"/>
          <w:b w:val="false"/>
          <w:i w:val="false"/>
          <w:color w:val="000000"/>
          <w:sz w:val="28"/>
        </w:rPr>
        <w:t>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Агентства Республики Казахстан по регулированию и надзору финансового рынка и финансовых организаций от 30 июля 2005 года № 269 «Об утверждении Правил государственной регистрации выпуска негосударственных облигаций и рассмотрения отчетов об итогах размещения и погашения облигаций, аннулирования выпуска облигаций» (зарегистрированное в Реестре государственной регистрации нормативных правовых актов под № 3822) следующие изменения и дополнение:</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Правилах</w:t>
      </w:r>
      <w:r>
        <w:rPr>
          <w:rFonts w:ascii="Times New Roman"/>
          <w:b w:val="false"/>
          <w:i w:val="false"/>
          <w:color w:val="000000"/>
          <w:sz w:val="28"/>
        </w:rPr>
        <w:t xml:space="preserve"> государственной регистрации выпуска негосударственных облигаций и рассмотрения отчетов об итогах размещения и погашения облигаций, аннулирования выпуска облигаций, утвержденных указанным постановлением:</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пункты 1</w:t>
      </w:r>
      <w:r>
        <w:rPr>
          <w:rFonts w:ascii="Times New Roman"/>
          <w:b w:val="false"/>
          <w:i w:val="false"/>
          <w:color w:val="000000"/>
          <w:sz w:val="28"/>
        </w:rPr>
        <w:t xml:space="preserve"> и </w:t>
      </w:r>
      <w:r>
        <w:rPr>
          <w:rFonts w:ascii="Times New Roman"/>
          <w:b w:val="false"/>
          <w:i w:val="false"/>
          <w:color w:val="000000"/>
          <w:sz w:val="28"/>
        </w:rPr>
        <w:t>1-1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 Для государственной регистрации выпуска облигаций (облигационной программы) эмитент представляет в Комитет по контролю и надзору финансового рынка и финансовых организаций Национального Банка Республики Казахстан (далее - уполномоченный орган) документы, установленные пунктом 1 </w:t>
      </w:r>
      <w:r>
        <w:rPr>
          <w:rFonts w:ascii="Times New Roman"/>
          <w:b w:val="false"/>
          <w:i w:val="false"/>
          <w:color w:val="000000"/>
          <w:sz w:val="28"/>
        </w:rPr>
        <w:t>статьи 12</w:t>
      </w:r>
      <w:r>
        <w:rPr>
          <w:rFonts w:ascii="Times New Roman"/>
          <w:b w:val="false"/>
          <w:i w:val="false"/>
          <w:color w:val="000000"/>
          <w:sz w:val="28"/>
        </w:rPr>
        <w:t xml:space="preserve"> Закона.</w:t>
      </w:r>
      <w:r>
        <w:br/>
      </w:r>
      <w:r>
        <w:rPr>
          <w:rFonts w:ascii="Times New Roman"/>
          <w:b w:val="false"/>
          <w:i w:val="false"/>
          <w:color w:val="000000"/>
          <w:sz w:val="28"/>
        </w:rPr>
        <w:t>
      Для государственной регистрации выпуска агентских облигаций эмитент, помимо документов, указанных в пункте 1 </w:t>
      </w:r>
      <w:r>
        <w:rPr>
          <w:rFonts w:ascii="Times New Roman"/>
          <w:b w:val="false"/>
          <w:i w:val="false"/>
          <w:color w:val="000000"/>
          <w:sz w:val="28"/>
        </w:rPr>
        <w:t>статьи 12</w:t>
      </w:r>
      <w:r>
        <w:rPr>
          <w:rFonts w:ascii="Times New Roman"/>
          <w:b w:val="false"/>
          <w:i w:val="false"/>
          <w:color w:val="000000"/>
          <w:sz w:val="28"/>
        </w:rPr>
        <w:t xml:space="preserve"> Закона, представляет копию документа, подтверждающего его полномочия на реализацию государственной инвестиционной политики в определенных сферах экономики в качестве финансового агентства в соответствии с </w:t>
      </w:r>
      <w:r>
        <w:rPr>
          <w:rFonts w:ascii="Times New Roman"/>
          <w:b w:val="false"/>
          <w:i w:val="false"/>
          <w:color w:val="000000"/>
          <w:sz w:val="28"/>
        </w:rPr>
        <w:t>Бюджетным</w:t>
      </w:r>
      <w:r>
        <w:rPr>
          <w:rFonts w:ascii="Times New Roman"/>
          <w:b w:val="false"/>
          <w:i w:val="false"/>
          <w:color w:val="000000"/>
          <w:sz w:val="28"/>
        </w:rPr>
        <w:t xml:space="preserve"> кодексом Республики Казахстан от 4 декабря 2008 года.</w:t>
      </w:r>
      <w:r>
        <w:br/>
      </w:r>
      <w:r>
        <w:rPr>
          <w:rFonts w:ascii="Times New Roman"/>
          <w:b w:val="false"/>
          <w:i w:val="false"/>
          <w:color w:val="000000"/>
          <w:sz w:val="28"/>
        </w:rPr>
        <w:t>
      Для государственной регистрации выпуска облигаций, конвертируемых в простые акции, в решении общего собрания акционеров указывается вид, количество конвертируемых ценных бумаг, цена размещения акций, в которые конвертируются облигации, а также информация о том, что выкупленная в результате конвертирования облигация не подлежит повторному размещению.</w:t>
      </w:r>
      <w:r>
        <w:br/>
      </w:r>
      <w:r>
        <w:rPr>
          <w:rFonts w:ascii="Times New Roman"/>
          <w:b w:val="false"/>
          <w:i w:val="false"/>
          <w:color w:val="000000"/>
          <w:sz w:val="28"/>
        </w:rPr>
        <w:t>
      Проспект выпуска облигаций (облигационной программы) составляется в двух экземплярах на бумажном носителе (на государственном и русском языках) по форме в соответствии с </w:t>
      </w:r>
      <w:r>
        <w:rPr>
          <w:rFonts w:ascii="Times New Roman"/>
          <w:b w:val="false"/>
          <w:i w:val="false"/>
          <w:color w:val="000000"/>
          <w:sz w:val="28"/>
        </w:rPr>
        <w:t>приложением 1</w:t>
      </w:r>
      <w:r>
        <w:rPr>
          <w:rFonts w:ascii="Times New Roman"/>
          <w:b w:val="false"/>
          <w:i w:val="false"/>
          <w:color w:val="000000"/>
          <w:sz w:val="28"/>
        </w:rPr>
        <w:t xml:space="preserve"> к настоящим Правилам и на электронном носителе на государственном и русском языках (без финансовой отчетности общества) в формате Acrobat Reader. Каждый из двух экземпляров содержит проспект выпуска облигаций (облигационной программы) на государственном и русском языках.</w:t>
      </w:r>
      <w:r>
        <w:br/>
      </w:r>
      <w:r>
        <w:rPr>
          <w:rFonts w:ascii="Times New Roman"/>
          <w:b w:val="false"/>
          <w:i w:val="false"/>
          <w:color w:val="000000"/>
          <w:sz w:val="28"/>
        </w:rPr>
        <w:t>
      Неотъемлемой частью проспекта выпуска облигаций (облигационной программы) являются:</w:t>
      </w:r>
      <w:r>
        <w:br/>
      </w:r>
      <w:r>
        <w:rPr>
          <w:rFonts w:ascii="Times New Roman"/>
          <w:b w:val="false"/>
          <w:i w:val="false"/>
          <w:color w:val="000000"/>
          <w:sz w:val="28"/>
        </w:rPr>
        <w:t>
      копии годовой финансовой отчетности эмитента, за два последних финансовых года, подтвержденной аудиторскими отчетами, а также копии аудиторских отчетов и учетной политики эмитента (за исключением вновь созданных эмитентов) (в случае наличия дочерней (дочерних) организации (организаций) и наличия отдельной финансовой отчетности, подтвержденной аудиторским отчетом, представляется отдельная финансовая отчетность);</w:t>
      </w:r>
      <w:r>
        <w:br/>
      </w:r>
      <w:r>
        <w:rPr>
          <w:rFonts w:ascii="Times New Roman"/>
          <w:b w:val="false"/>
          <w:i w:val="false"/>
          <w:color w:val="000000"/>
          <w:sz w:val="28"/>
        </w:rPr>
        <w:t>
      копии финансовой отчетности эмитента по состоянию на конец последнего квартала перед подачей документов на государственную регистрацию выпуска облигаций (облигационной программы) (в случае наличия дочерней (дочерних) организации (организаций) представляется отдельная финансовая отчетность);</w:t>
      </w:r>
      <w:r>
        <w:br/>
      </w:r>
      <w:r>
        <w:rPr>
          <w:rFonts w:ascii="Times New Roman"/>
          <w:b w:val="false"/>
          <w:i w:val="false"/>
          <w:color w:val="000000"/>
          <w:sz w:val="28"/>
        </w:rPr>
        <w:t>
      копии договоров, заключенных с представителем держателей облигаций;</w:t>
      </w:r>
      <w:r>
        <w:br/>
      </w:r>
      <w:r>
        <w:rPr>
          <w:rFonts w:ascii="Times New Roman"/>
          <w:b w:val="false"/>
          <w:i w:val="false"/>
          <w:color w:val="000000"/>
          <w:sz w:val="28"/>
        </w:rPr>
        <w:t>
      копии договоров, заключенных с организациями, оказывающими консультационные услуги по вопросам включения и нахождения эмиссионных ценных бумаг в официальном списке фондовой биржи, для эмитентов, планирующих размещение облигаций на организованном рынке (если заключения договора с такими организациями предусмотрена требованиями Закона);</w:t>
      </w:r>
      <w:r>
        <w:br/>
      </w:r>
      <w:r>
        <w:rPr>
          <w:rFonts w:ascii="Times New Roman"/>
          <w:b w:val="false"/>
          <w:i w:val="false"/>
          <w:color w:val="000000"/>
          <w:sz w:val="28"/>
        </w:rPr>
        <w:t>
      порядок распределения дохода эмитента между его участниками для эмитентов, созданных в организационной правовой форме товарищества с ограниченной ответственностью.</w:t>
      </w:r>
      <w:r>
        <w:br/>
      </w:r>
      <w:r>
        <w:rPr>
          <w:rFonts w:ascii="Times New Roman"/>
          <w:b w:val="false"/>
          <w:i w:val="false"/>
          <w:color w:val="000000"/>
          <w:sz w:val="28"/>
        </w:rPr>
        <w:t>
      Неотъемлемыми частями проспекта выпуска инфраструктурных облигаций, помимо вышеуказанных документов, являются копии концессионного договора и договора поручительства.</w:t>
      </w:r>
      <w:r>
        <w:br/>
      </w:r>
      <w:r>
        <w:rPr>
          <w:rFonts w:ascii="Times New Roman"/>
          <w:b w:val="false"/>
          <w:i w:val="false"/>
          <w:color w:val="000000"/>
          <w:sz w:val="28"/>
        </w:rPr>
        <w:t>
      Неотъемлемой частью проспекта выпуска облигаций специальной финансовой компании являются аудиторский отчет оригинатора за последний год, договор уступки прав требования по данной сделке секьюритизации, заключенный между оригинатором и специальной финансовой компанией.</w:t>
      </w:r>
      <w:r>
        <w:br/>
      </w:r>
      <w:r>
        <w:rPr>
          <w:rFonts w:ascii="Times New Roman"/>
          <w:b w:val="false"/>
          <w:i w:val="false"/>
          <w:color w:val="000000"/>
          <w:sz w:val="28"/>
        </w:rPr>
        <w:t>
      Сведения в проспекте выпуска облигаций (облигационной программы) приводятся на дату последнего дня месяца, предшествующего дате сдачи документов в уполномоченный орган, за исключением информации о финансовом состоянии эмитента (указываемой в главе 5 приложений 1 и 2 к настоящим Правилам), которая указывается согласно финансовой отчетности по состоянию на конец последнего квартала перед подачей документов для государственной регистрации выпуска облигаций (облигационной программы).</w:t>
      </w:r>
      <w:r>
        <w:br/>
      </w:r>
      <w:r>
        <w:rPr>
          <w:rFonts w:ascii="Times New Roman"/>
          <w:b w:val="false"/>
          <w:i w:val="false"/>
          <w:color w:val="000000"/>
          <w:sz w:val="28"/>
        </w:rPr>
        <w:t>
      В случае отсутствия аудированной финансовой отчетности за завершенный финансовый год в период с 1 января по 1 июня текущего года общество представляет в уполномоченный орган аудированную финансовую отчетность за два года, предшествующих последнему завершенному году (аудированная финансовая отчетность за завершенный финансовый год представляется обществом в течение месяца с даты утверждения аудированной годовой финансовой отчетности общим собранием акционеров) (в случае наличия дочерней (дочерних) организации (организаций) и наличия отдельной финансовой отчетности, подтвержденной аудиторским отчетом, представляется отдельная финансовая отчетность).</w:t>
      </w:r>
      <w:r>
        <w:br/>
      </w:r>
      <w:r>
        <w:rPr>
          <w:rFonts w:ascii="Times New Roman"/>
          <w:b w:val="false"/>
          <w:i w:val="false"/>
          <w:color w:val="000000"/>
          <w:sz w:val="28"/>
        </w:rPr>
        <w:t>
      Требования настоящего пункта не распространяются на выпуск облигаций (облигационной программы) организации, специализирующейся на улучшении качества кредитных портфелей банков второго уровня, ста процентами голосующих акций которой владеет Национальный Банк Республики Казахстан (далее - организация, специализирующаяся на улучшении качества кредитных портфелей банков второго уровня).</w:t>
      </w:r>
      <w:r>
        <w:br/>
      </w:r>
      <w:r>
        <w:rPr>
          <w:rFonts w:ascii="Times New Roman"/>
          <w:b w:val="false"/>
          <w:i w:val="false"/>
          <w:color w:val="000000"/>
          <w:sz w:val="28"/>
        </w:rPr>
        <w:t>
      1-1. Величина левереджа эмитента (за исключением банков, организаций, осуществляющих отдельные виды банковских операций) для государственной регистрации выпуска облигаций (облигационной программы) не превышает 2 (согласно данным последней финансовой отчетности, представляемой для государственной регистрации выпуска облигаций).</w:t>
      </w:r>
      <w:r>
        <w:br/>
      </w:r>
      <w:r>
        <w:rPr>
          <w:rFonts w:ascii="Times New Roman"/>
          <w:b w:val="false"/>
          <w:i w:val="false"/>
          <w:color w:val="000000"/>
          <w:sz w:val="28"/>
        </w:rPr>
        <w:t>
      Величина левереджа для государственной регистрации облигаций (облигационной программы) организации, специализирующейся на улучшении качества кредитных портфелей банков второго уровня не превышает 5 (согласно данным последней финансовой отчетности, представляемой для государственной регистрации выпуска облигаций).»;</w:t>
      </w:r>
      <w:r>
        <w:br/>
      </w:r>
      <w:r>
        <w:rPr>
          <w:rFonts w:ascii="Times New Roman"/>
          <w:b w:val="false"/>
          <w:i w:val="false"/>
          <w:color w:val="000000"/>
          <w:sz w:val="28"/>
        </w:rPr>
        <w:t>
</w:t>
      </w:r>
      <w:r>
        <w:rPr>
          <w:rFonts w:ascii="Times New Roman"/>
          <w:b w:val="false"/>
          <w:i w:val="false"/>
          <w:color w:val="000000"/>
          <w:sz w:val="28"/>
        </w:rPr>
        <w:t>
      дополнить пунктом 2-4 следующего содержания:</w:t>
      </w:r>
      <w:r>
        <w:br/>
      </w:r>
      <w:r>
        <w:rPr>
          <w:rFonts w:ascii="Times New Roman"/>
          <w:b w:val="false"/>
          <w:i w:val="false"/>
          <w:color w:val="000000"/>
          <w:sz w:val="28"/>
        </w:rPr>
        <w:t>
      «2-4. Для государственной регистрации выпуска облигаций (облигационной программы) организации, специализирующейся на улучшении качества кредитных портфелей банков второго уровня эмитент предоставляет документы, установленные пунктом 1 </w:t>
      </w:r>
      <w:r>
        <w:rPr>
          <w:rFonts w:ascii="Times New Roman"/>
          <w:b w:val="false"/>
          <w:i w:val="false"/>
          <w:color w:val="000000"/>
          <w:sz w:val="28"/>
        </w:rPr>
        <w:t>статьи 12</w:t>
      </w:r>
      <w:r>
        <w:rPr>
          <w:rFonts w:ascii="Times New Roman"/>
          <w:b w:val="false"/>
          <w:i w:val="false"/>
          <w:color w:val="000000"/>
          <w:sz w:val="28"/>
        </w:rPr>
        <w:t xml:space="preserve"> Закона.</w:t>
      </w:r>
      <w:r>
        <w:br/>
      </w:r>
      <w:r>
        <w:rPr>
          <w:rFonts w:ascii="Times New Roman"/>
          <w:b w:val="false"/>
          <w:i w:val="false"/>
          <w:color w:val="000000"/>
          <w:sz w:val="28"/>
        </w:rPr>
        <w:t>
      Проспект выпуска облигаций (облигационной программы) организации, специализирующейся на улучшении качества кредитных портфелей банков второго уровня составляется в двух экземплярах на бумажном носителе (на государственном и русском языках) по форме в соответствии с приложением 1 к настоящим Правилам и на электронном носителе на государственном и русском языках (без финансовой отчетности общества) в формате Acrobat Reader. Каждый из двух экземпляров содержит проспект выпуска облигаций (облигационной программы) на государственном и русском языках. При этом информация, указанная в пунктах 8, 10, 22, 23, 26, 27, 28, 29, 36-1 и 36-4 приложения 1 к настоящим Правилам, не заполняется при выпуске облигаций (облигационной программы) организации, специализирующейся на улучшении качества кредитных портфелей банков второго уровня.».</w:t>
      </w:r>
      <w:r>
        <w:br/>
      </w: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ff0000"/>
          <w:sz w:val="28"/>
        </w:rPr>
        <w:t xml:space="preserve">Утратил силу постановлением Правления Национального Банка РК от 22.10.2014 </w:t>
      </w:r>
      <w:r>
        <w:rPr>
          <w:rFonts w:ascii="Times New Roman"/>
          <w:b w:val="false"/>
          <w:i w:val="false"/>
          <w:color w:val="000000"/>
          <w:sz w:val="28"/>
        </w:rPr>
        <w:t>№ 189</w:t>
      </w:r>
      <w:r>
        <w:rPr>
          <w:rFonts w:ascii="Times New Roman"/>
          <w:b w:val="false"/>
          <w:i w:val="false"/>
          <w:color w:val="ff0000"/>
          <w:sz w:val="28"/>
        </w:rPr>
        <w:t xml:space="preserve"> (вводится в действие с 01.01.2015).</w:t>
      </w:r>
      <w:r>
        <w:br/>
      </w:r>
      <w:r>
        <w:rPr>
          <w:rFonts w:ascii="Times New Roman"/>
          <w:b w:val="false"/>
          <w:i w:val="false"/>
          <w:color w:val="000000"/>
          <w:sz w:val="28"/>
        </w:rPr>
        <w:t>
</w:t>
      </w:r>
      <w:r>
        <w:rPr>
          <w:rFonts w:ascii="Times New Roman"/>
          <w:b w:val="false"/>
          <w:i w:val="false"/>
          <w:color w:val="000000"/>
          <w:sz w:val="28"/>
        </w:rPr>
        <w:t xml:space="preserve">
      3. </w:t>
      </w:r>
      <w:r>
        <w:rPr>
          <w:rFonts w:ascii="Times New Roman"/>
          <w:b w:val="false"/>
          <w:i w:val="false"/>
          <w:color w:val="ff0000"/>
          <w:sz w:val="28"/>
        </w:rPr>
        <w:t xml:space="preserve">Утратил силу постановлением Правления Национального Банка РК от 22.10.2014 </w:t>
      </w:r>
      <w:r>
        <w:rPr>
          <w:rFonts w:ascii="Times New Roman"/>
          <w:b w:val="false"/>
          <w:i w:val="false"/>
          <w:color w:val="000000"/>
          <w:sz w:val="28"/>
        </w:rPr>
        <w:t>№ 196</w:t>
      </w:r>
      <w:r>
        <w:rPr>
          <w:rFonts w:ascii="Times New Roman"/>
          <w:b w:val="false"/>
          <w:i w:val="false"/>
          <w:color w:val="ff0000"/>
          <w:sz w:val="28"/>
        </w:rPr>
        <w:t>.</w:t>
      </w:r>
    </w:p>
    <w:bookmarkEnd w:id="3"/>
    <w:bookmarkStart w:name="z40" w:id="4"/>
    <w:p>
      <w:pPr>
        <w:spacing w:after="0"/>
        <w:ind w:left="0"/>
        <w:jc w:val="both"/>
      </w:pPr>
      <w:r>
        <w:rPr>
          <w:rFonts w:ascii="Times New Roman"/>
          <w:b w:val="false"/>
          <w:i w:val="false"/>
          <w:color w:val="000000"/>
          <w:sz w:val="28"/>
        </w:rPr>
        <w:t xml:space="preserve">
      4. </w:t>
      </w:r>
      <w:r>
        <w:rPr>
          <w:rFonts w:ascii="Times New Roman"/>
          <w:b w:val="false"/>
          <w:i w:val="false"/>
          <w:color w:val="ff0000"/>
          <w:sz w:val="28"/>
        </w:rPr>
        <w:t xml:space="preserve">Утратил силу постановлением Правления Национального Банка РК от 22.10.2014 </w:t>
      </w:r>
      <w:r>
        <w:rPr>
          <w:rFonts w:ascii="Times New Roman"/>
          <w:b w:val="false"/>
          <w:i w:val="false"/>
          <w:color w:val="000000"/>
          <w:sz w:val="28"/>
        </w:rPr>
        <w:t>№ 196</w:t>
      </w:r>
      <w:r>
        <w:rPr>
          <w:rFonts w:ascii="Times New Roman"/>
          <w:b w:val="false"/>
          <w:i w:val="false"/>
          <w:color w:val="ff0000"/>
          <w:sz w:val="28"/>
        </w:rPr>
        <w:t>.</w:t>
      </w:r>
    </w:p>
    <w:bookmarkEnd w:id="4"/>
    <w:bookmarkStart w:name="z51" w:id="5"/>
    <w:p>
      <w:pPr>
        <w:spacing w:after="0"/>
        <w:ind w:left="0"/>
        <w:jc w:val="both"/>
      </w:pPr>
      <w:r>
        <w:rPr>
          <w:rFonts w:ascii="Times New Roman"/>
          <w:b w:val="false"/>
          <w:i w:val="false"/>
          <w:color w:val="000000"/>
          <w:sz w:val="28"/>
        </w:rPr>
        <w:t xml:space="preserve">
      5. </w:t>
      </w:r>
      <w:r>
        <w:rPr>
          <w:rFonts w:ascii="Times New Roman"/>
          <w:b w:val="false"/>
          <w:i w:val="false"/>
          <w:color w:val="ff0000"/>
          <w:sz w:val="28"/>
        </w:rPr>
        <w:t xml:space="preserve">Утратил силу постановлением Правления Национального Банка РК от 22.10.2014 </w:t>
      </w:r>
      <w:r>
        <w:rPr>
          <w:rFonts w:ascii="Times New Roman"/>
          <w:b w:val="false"/>
          <w:i w:val="false"/>
          <w:color w:val="000000"/>
          <w:sz w:val="28"/>
        </w:rPr>
        <w:t>№ 196</w:t>
      </w:r>
      <w:r>
        <w:rPr>
          <w:rFonts w:ascii="Times New Roman"/>
          <w:b w:val="false"/>
          <w:i w:val="false"/>
          <w:color w:val="ff0000"/>
          <w:sz w:val="28"/>
        </w:rPr>
        <w:t>.</w:t>
      </w:r>
    </w:p>
    <w:bookmarkEnd w:id="5"/>
    <w:bookmarkStart w:name="z57" w:id="6"/>
    <w:p>
      <w:pPr>
        <w:spacing w:after="0"/>
        <w:ind w:left="0"/>
        <w:jc w:val="both"/>
      </w:pPr>
      <w:r>
        <w:rPr>
          <w:rFonts w:ascii="Times New Roman"/>
          <w:b w:val="false"/>
          <w:i w:val="false"/>
          <w:color w:val="000000"/>
          <w:sz w:val="28"/>
        </w:rPr>
        <w:t xml:space="preserve">
      6. </w:t>
      </w:r>
      <w:r>
        <w:rPr>
          <w:rFonts w:ascii="Times New Roman"/>
          <w:b w:val="false"/>
          <w:i w:val="false"/>
          <w:color w:val="ff0000"/>
          <w:sz w:val="28"/>
        </w:rPr>
        <w:t xml:space="preserve">Утратил силу постановлением Правления Национального Банка РК от 16.07.2014 </w:t>
      </w:r>
      <w:r>
        <w:rPr>
          <w:rFonts w:ascii="Times New Roman"/>
          <w:b w:val="false"/>
          <w:i w:val="false"/>
          <w:color w:val="000000"/>
          <w:sz w:val="28"/>
        </w:rPr>
        <w:t>№ 146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