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fab47" w14:textId="34fab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Национального Банка Республики Казахстан от 25 июля 2006 года № 65 "Об утверждении Правил осуществления инвестиционных операций Национального фонда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28 апреля 2012 года № 161. Зарегистрировано в Министерстве юстиции Республики Казахстан 2 июля 2012 года № 7780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1995 года «О Национальном Банке Республики Казахстан» и Договором о доверительном управлении Национальным фондом Республики Казахстан от 14 июня 2001 года № 299, одобренным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мая 2001 года № 655 «О договоре о доверительном управлении Национальным фондом Республики Казахстан»,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25 июля 2006 года № 65 «Об утверждении Правил осуществления инвестиционных операций Национального фонда Республики Казахстан» (зарегистрированное в Реестре государственной регистрации нормативных правовых актов под № 4361)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инвестиционных операций Национального фонда Республики Казахстан,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заголовки </w:t>
      </w:r>
      <w:r>
        <w:rPr>
          <w:rFonts w:ascii="Times New Roman"/>
          <w:b w:val="false"/>
          <w:i w:val="false"/>
          <w:color w:val="000000"/>
          <w:sz w:val="28"/>
        </w:rPr>
        <w:t>глав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Общие положения»;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Основные понятия»;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«12. Композитный Индекс облигаций - индекс индексов ценных бумаг с фиксированным доходом развитых стран мира, состоящий из высоколиквидных ценных бумаг: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Merrill Lynch U.S. Treasuries, 1-5 Yrs (GVQ0) - 30 (тридцать)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Merrill Lynch 1-5 Year All Euro Government Index, DE, FR, NL, AT, LU, FI (EVDF) - 28 (двадцать восемь)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Merrill Lynch U.K. Gilts, 1-5 Yrs (GVL0) - 10 (десять)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Merrill Lynch Japanese Governments, 1-5 Yrs (GVY0) - 10 (десять)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Merrill Lynch Australian Government, 1-5 Yrs (GVT0) - 5 (пять)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Merrill Lynch Canadian Governments, 1-5 Yrs (GVC0) - 5 (пять)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Merrill Lynch South Korean Government Index, 1-5 Yrs (GSKV) - 5 (пять)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Merrill Lynch Hong Kong Government Index, 1-5 Yrs (GVHK) - 3 (три)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Merrill Lynch Singapore Government Index, 1-5 Yrs (GVSP) - 2 (два)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Merrill Lynch Danish Government Index, 1-5 Yrs (GVM0) – 2 (два) процента.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Возврат к эталонному распределению в данном индексе производится в последний рабочий день календарного квартала. Состав ценных бумаг в индексе меняется ежемесячно на основе рыночной капитализации. Показатели доходности и риска рассчитываются ежедневно.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Кредитный рейтинг – показатель уровня кредитного риска по финансовым инструментам, присваиваемый международными рейтинговыми агентствами Standard and Poor's Financial Services LLC (далее – Standard &amp; Poor's) и Moody’s Investors Services (далее - Moody’s). Кредитные рейтинги располагаются в таблице согласно приложению 1 к настоящим Правилам по мере увеличения кредитного риска.»;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16-1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«16-1. Производные инструменты - сделки форвард, своп, соглашение о форвардной процентной ставке (ФРА), опцион, фьючерс и другие операции, представляющие собой комбинацию данных сделок.»;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 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Общая стратегия по управлению стабилизационным и сберегательным портфелями»;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 </w:t>
      </w:r>
      <w:r>
        <w:rPr>
          <w:rFonts w:ascii="Times New Roman"/>
          <w:b w:val="false"/>
          <w:i w:val="false"/>
          <w:color w:val="000000"/>
          <w:sz w:val="28"/>
        </w:rPr>
        <w:t>пункта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«Ограничения, предусмотренные настоящими Правилами, не распространяются на казахстанские финансовые инструменты, которые не учитываются в расчете показателей доходности и рисков.»;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«34. Депозиты (вклады) могут размещаться только в банки, имеющие краткосрочные кредитные рейтинги не ниже A1 (Standard&amp;Poor’s)/P1 (Moody’s) и долгосрочные кредитные рейтинги не ниже A (Standard&amp;Poor’s)/A2(Moody’s). Максимальный срок депозитов (вкладов) – 1 (один) месяц.»;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заголовки </w:t>
      </w:r>
      <w:r>
        <w:rPr>
          <w:rFonts w:ascii="Times New Roman"/>
          <w:b w:val="false"/>
          <w:i w:val="false"/>
          <w:color w:val="000000"/>
          <w:sz w:val="28"/>
        </w:rPr>
        <w:t>глав 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Основные параметры стабилизационного портфеля»;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Параметры сберегательного портфеля»;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47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«47. Ожидаемая изменчивость отклонения доходности сберегательного портфеля от доходности эталонного портфеля (tracking error) не должна превышать 2 (два) процента. При рыночной ситуации, когда отклонение от эталонного портфеля, указанного в пункте 46 настоящих Правил, составляет более 10 (десяти) процентов, показатель изменчивости отклонения доходности сберегательного портфеля может превысить 2 (два) процента с разрешения Полномочного представителя Фонда.»;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 </w:t>
      </w:r>
      <w:r>
        <w:rPr>
          <w:rFonts w:ascii="Times New Roman"/>
          <w:b w:val="false"/>
          <w:i w:val="false"/>
          <w:color w:val="000000"/>
          <w:sz w:val="28"/>
        </w:rPr>
        <w:t>пункта 51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«Минимальный краткосрочный кредитный рейтинг корпоративных ценных бумаг денежного рынка – А2 (Standard&amp;Poor’s)/P3 (Moody’s).»;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«53. Активы портфеля акций сберегательного портфеля (далее – портфель акций) могут быть инвестированы в простые и привилегированные акции, индексы, базируемые на эталонном портфеле портфеля акций или на составляющих его секторах, производные финансовые инструменты, а также наличные деньги.»;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заголовки </w:t>
      </w:r>
      <w:r>
        <w:rPr>
          <w:rFonts w:ascii="Times New Roman"/>
          <w:b w:val="false"/>
          <w:i w:val="false"/>
          <w:color w:val="000000"/>
          <w:sz w:val="28"/>
        </w:rPr>
        <w:t>глав 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Ограничения при выборе внешних управляющих»;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Ограничения при выборе кастодианов»;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«8. Использование структурных продуктов»;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«69. Долгосрочный кредитный рейтинг структурного продукта должен быть не ниже А- (Standard&amp;Poor’s) или А3 (Moody’s), а краткосрочный – не ниже А-1 (Standard&amp;Poor’s) или Р-1(Moody’s).»;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 </w:t>
      </w:r>
      <w:r>
        <w:rPr>
          <w:rFonts w:ascii="Times New Roman"/>
          <w:b w:val="false"/>
          <w:i w:val="false"/>
          <w:color w:val="000000"/>
          <w:sz w:val="28"/>
        </w:rPr>
        <w:t>главы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Отчетность»;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10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«10. Лимиты кредитного риска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72. Национальный Банк при осуществлении инвестиционных операций при доверительном управлении Фондом проводит операции с контрпартнерами, перечень которых определяется Национальным Банком. Максимальный размер лимита кредитного риска на контрпарнеров устанавливается в соответствии с нормативным правовым актом, регулирующим порядок управления кредитным риском по операциям с контрпартнерами и кастодианами Национального Банка.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73. Лимиты на контрпартнеров приводятся в соответствие с ограничениями, установленными в соответствии с нормативным правовым актом, регулирующим порядок управления кредитным риском по операциям с контрпартнерами и кастодианами Национального Банка, в течение двух рабочих дней или на следующий рабочий день после даты закрытия срочных сделок, за исключением случаев, связанных с задержками завершения расчетов по заключаемым сделкам по вине контрпартнеров. В случае снижения долгосрочного кредитного рейтинга ценных бумаг, а также кредитного рейтинга контрпартнеров по незавершенным операциям с производными инструментами ниже уровня, установленного настоящими Правилами, в течение 6 (шести) месяцев со дня понижения рейтинга принимаются меры по приведению данных позиций и сделок в соответствие с требованиями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74. Операции с активами, переданными во внешнее управление, осуществляются с контрпартнерами, минимальный кредитный рейтинг которых соответствует ограничениям, установленным настоящими Правилами.»;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июня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Национального Банка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Г. Марченко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____________ Б. Жамишев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2 июня 2012 года</w:t>
      </w:r>
    </w:p>
    <w:bookmarkStart w:name="z2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апреля 2012 года № 161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осуществления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инвестиционных операций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фонда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Допустимые отклонения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рыночной стоимости портфеля ценных бумаг с фиксированным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доходом и портфеля акций в составе сберегательного портфеля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64"/>
        <w:gridCol w:w="2361"/>
        <w:gridCol w:w="2361"/>
      </w:tblGrid>
      <w:tr>
        <w:trPr>
          <w:trHeight w:val="30" w:hRule="atLeast"/>
        </w:trPr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Минимум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Максимум</w:t>
            </w:r>
          </w:p>
        </w:tc>
      </w:tr>
      <w:tr>
        <w:trPr>
          <w:trHeight w:val="30" w:hRule="atLeast"/>
        </w:trPr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Ценные бумаги с фиксированным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доходом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процентов</w:t>
            </w:r>
          </w:p>
        </w:tc>
      </w:tr>
      <w:tr>
        <w:trPr>
          <w:trHeight w:val="30" w:hRule="atLeast"/>
        </w:trPr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процентов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процентов</w:t>
            </w:r>
          </w:p>
        </w:tc>
      </w:tr>
    </w:tbl>
    <w:bookmarkStart w:name="z2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апреля 2012 года № 161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осуществления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инвестиционных операций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фонда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 </w:t>
      </w:r>
      <w:r>
        <w:rPr>
          <w:rFonts w:ascii="Times New Roman"/>
          <w:b/>
          <w:i w:val="false"/>
          <w:color w:val="000000"/>
          <w:sz w:val="28"/>
        </w:rPr>
        <w:t>Секторное распределение портфеля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ценных бумаг с фиксированным доходом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73"/>
        <w:gridCol w:w="2133"/>
        <w:gridCol w:w="1953"/>
      </w:tblGrid>
      <w:tr>
        <w:trPr>
          <w:trHeight w:val="240" w:hRule="atLeast"/>
        </w:trPr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Минимум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Максимум</w:t>
            </w:r>
          </w:p>
        </w:tc>
      </w:tr>
      <w:tr>
        <w:trPr>
          <w:trHeight w:val="690" w:hRule="atLeast"/>
        </w:trPr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Наличная валюта (остатки на текущих счетах;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средства, размещенные в фонды денежного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рынка с возможностью возврата на следующий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день), государственные (суверенные)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агентские долговые обязательства стран,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входящих в эталонный портфель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60 %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</w:tr>
      <w:tr>
        <w:trPr>
          <w:trHeight w:val="480" w:hRule="atLeast"/>
        </w:trPr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Долговые обязательства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 организаций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30 %</w:t>
            </w:r>
          </w:p>
        </w:tc>
      </w:tr>
      <w:tr>
        <w:trPr>
          <w:trHeight w:val="480" w:hRule="atLeast"/>
        </w:trPr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(суверенные) долговые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обязательства, агентские долговые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стран, не входящих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эталонный портфель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40 %</w:t>
            </w:r>
          </w:p>
        </w:tc>
      </w:tr>
      <w:tr>
        <w:trPr>
          <w:trHeight w:val="240" w:hRule="atLeast"/>
        </w:trPr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Депозиты (вклады), в том числе средства,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размещенные на депозиты от операций репо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30 %</w:t>
            </w:r>
          </w:p>
        </w:tc>
      </w:tr>
      <w:tr>
        <w:trPr>
          <w:trHeight w:val="240" w:hRule="atLeast"/>
        </w:trPr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Производные инструменты (регулируются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ограничением по Tracking Error)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</w:t>
            </w:r>
          </w:p>
        </w:tc>
      </w:tr>
      <w:tr>
        <w:trPr>
          <w:trHeight w:val="240" w:hRule="atLeast"/>
        </w:trPr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Структурные продукты (не включая MBS, ABS)*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10 %</w:t>
            </w:r>
          </w:p>
        </w:tc>
      </w:tr>
      <w:tr>
        <w:trPr>
          <w:trHeight w:val="240" w:hRule="atLeast"/>
        </w:trPr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Ценные бумаги под залог недвижимости (MBS)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активов (ABS)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30 %</w:t>
            </w:r>
          </w:p>
        </w:tc>
      </w:tr>
      <w:tr>
        <w:trPr>
          <w:trHeight w:val="240" w:hRule="atLeast"/>
        </w:trPr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Корпоративные и коммерческие ценные бумаги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(ECP)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30 %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с разрешения Полномочного Представителя Национального фонда.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