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20d8" w14:textId="b262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внутренних проектов по сокращению выбросов парниковых газов и перечня отраслей и секторов экономики, в которых они могут осуществляться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14 мая 2012 года № 156-ө. Зарегистрирован в Министерстве юстиции Республики Казахстан 12 июня 2012 года № 7730. Утратил силу приказом и.о. Министра экологии, геологии и природных ресурсов Республики Казахстан от 4 августа 2021 года № 289.</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04.08.2021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разработки внутренних проектов по сокращению выбросов парниковых газов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Перечень отраслей и секторов экономики, в которых могут осуществляться внутренние проекты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w:t>
      </w:r>
    </w:p>
    <w:bookmarkEnd w:id="4"/>
    <w:bookmarkStart w:name="z6" w:id="5"/>
    <w:p>
      <w:pPr>
        <w:spacing w:after="0"/>
        <w:ind w:left="0"/>
        <w:jc w:val="both"/>
      </w:pPr>
      <w:r>
        <w:rPr>
          <w:rFonts w:ascii="Times New Roman"/>
          <w:b w:val="false"/>
          <w:i w:val="false"/>
          <w:color w:val="000000"/>
          <w:sz w:val="28"/>
        </w:rPr>
        <w:t>
      3. Настоящий приказ вводится в действие по истечении тридцати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2012 года № 156-ө</w:t>
            </w:r>
          </w:p>
        </w:tc>
      </w:tr>
    </w:tbl>
    <w:bookmarkStart w:name="z8" w:id="6"/>
    <w:p>
      <w:pPr>
        <w:spacing w:after="0"/>
        <w:ind w:left="0"/>
        <w:jc w:val="left"/>
      </w:pPr>
      <w:r>
        <w:rPr>
          <w:rFonts w:ascii="Times New Roman"/>
          <w:b/>
          <w:i w:val="false"/>
          <w:color w:val="000000"/>
        </w:rPr>
        <w:t xml:space="preserve"> Правила разработки внутренних проектов по сокращению выбросов парниковых газов</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1. Правила разработки внутренних проектов по сокращению выбросов парниковых газов (далее - Правила) определяют порядок разработки внутренних проектов по сокращению выбросов парниковых газов.</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8"/>
    <w:bookmarkStart w:name="z12" w:id="9"/>
    <w:p>
      <w:pPr>
        <w:spacing w:after="0"/>
        <w:ind w:left="0"/>
        <w:jc w:val="both"/>
      </w:pPr>
      <w:r>
        <w:rPr>
          <w:rFonts w:ascii="Times New Roman"/>
          <w:b w:val="false"/>
          <w:i w:val="false"/>
          <w:color w:val="000000"/>
          <w:sz w:val="28"/>
        </w:rPr>
        <w:t>
      1) базовый сценарий – сценарий, отражающий уровень выбросов парниковых газов или уровень поглощения парниковых газов в случае отсутствия предлагаемого внутреннего проекта, в сравнении с которым оценивается достигнутый объем сокращения выбросов и (или) поглощения парниковых газов;</w:t>
      </w:r>
    </w:p>
    <w:bookmarkEnd w:id="9"/>
    <w:bookmarkStart w:name="z13" w:id="10"/>
    <w:p>
      <w:pPr>
        <w:spacing w:after="0"/>
        <w:ind w:left="0"/>
        <w:jc w:val="both"/>
      </w:pPr>
      <w:r>
        <w:rPr>
          <w:rFonts w:ascii="Times New Roman"/>
          <w:b w:val="false"/>
          <w:i w:val="false"/>
          <w:color w:val="000000"/>
          <w:sz w:val="28"/>
        </w:rPr>
        <w:t>
      2) внутренний проект по сокращению выбросов (далее – внутренний проект) - деятельность или виды деятельности, направленные на сокращение выбросов парниковых газов или увеличение поглощения парниковых газов, осуществляемые на основе механизма внутреннего сокращения выбросов парниковых газов и изменяющие условия, идентифицированные в базовом сценарии.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3. Разработка внутренних проектов осуществляется заявителем проекта.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6" w:id="12"/>
    <w:p>
      <w:pPr>
        <w:spacing w:after="0"/>
        <w:ind w:left="0"/>
        <w:jc w:val="left"/>
      </w:pPr>
      <w:r>
        <w:rPr>
          <w:rFonts w:ascii="Times New Roman"/>
          <w:b/>
          <w:i w:val="false"/>
          <w:color w:val="000000"/>
        </w:rPr>
        <w:t xml:space="preserve"> 2. Порядок разработки внутренних проектов по сокращению выбросов парниковых газов</w:t>
      </w:r>
    </w:p>
    <w:bookmarkEnd w:id="12"/>
    <w:bookmarkStart w:name="z17" w:id="13"/>
    <w:p>
      <w:pPr>
        <w:spacing w:after="0"/>
        <w:ind w:left="0"/>
        <w:jc w:val="both"/>
      </w:pPr>
      <w:r>
        <w:rPr>
          <w:rFonts w:ascii="Times New Roman"/>
          <w:b w:val="false"/>
          <w:i w:val="false"/>
          <w:color w:val="000000"/>
          <w:sz w:val="28"/>
        </w:rPr>
        <w:t>
      4. Разработка внутренних проектов предусматривает реализацию следующих задач:</w:t>
      </w:r>
    </w:p>
    <w:bookmarkEnd w:id="13"/>
    <w:bookmarkStart w:name="z18" w:id="14"/>
    <w:p>
      <w:pPr>
        <w:spacing w:after="0"/>
        <w:ind w:left="0"/>
        <w:jc w:val="both"/>
      </w:pPr>
      <w:r>
        <w:rPr>
          <w:rFonts w:ascii="Times New Roman"/>
          <w:b w:val="false"/>
          <w:i w:val="false"/>
          <w:color w:val="000000"/>
          <w:sz w:val="28"/>
        </w:rPr>
        <w:t>
      1) планирование проекта и подготовка концепции проекта (проектной идеи);</w:t>
      </w:r>
    </w:p>
    <w:bookmarkEnd w:id="14"/>
    <w:bookmarkStart w:name="z19" w:id="15"/>
    <w:p>
      <w:pPr>
        <w:spacing w:after="0"/>
        <w:ind w:left="0"/>
        <w:jc w:val="both"/>
      </w:pPr>
      <w:r>
        <w:rPr>
          <w:rFonts w:ascii="Times New Roman"/>
          <w:b w:val="false"/>
          <w:i w:val="false"/>
          <w:color w:val="000000"/>
          <w:sz w:val="28"/>
        </w:rPr>
        <w:t>
      2) идентификация источников выбросов, либо поглотителей и накопителей парниковых газов, с которыми будет связан проект;</w:t>
      </w:r>
    </w:p>
    <w:bookmarkEnd w:id="15"/>
    <w:bookmarkStart w:name="z20" w:id="16"/>
    <w:p>
      <w:pPr>
        <w:spacing w:after="0"/>
        <w:ind w:left="0"/>
        <w:jc w:val="both"/>
      </w:pPr>
      <w:r>
        <w:rPr>
          <w:rFonts w:ascii="Times New Roman"/>
          <w:b w:val="false"/>
          <w:i w:val="false"/>
          <w:color w:val="000000"/>
          <w:sz w:val="28"/>
        </w:rPr>
        <w:t>
      3) определение базового сценария проекта;</w:t>
      </w:r>
    </w:p>
    <w:bookmarkEnd w:id="16"/>
    <w:bookmarkStart w:name="z21" w:id="17"/>
    <w:p>
      <w:pPr>
        <w:spacing w:after="0"/>
        <w:ind w:left="0"/>
        <w:jc w:val="both"/>
      </w:pPr>
      <w:r>
        <w:rPr>
          <w:rFonts w:ascii="Times New Roman"/>
          <w:b w:val="false"/>
          <w:i w:val="false"/>
          <w:color w:val="000000"/>
          <w:sz w:val="28"/>
        </w:rPr>
        <w:t>
      4) разработка процедур количественной оценки и мониторинга в отношении сокращений и увеличения поглощения парниковых газов на основе национальных или международных методик;</w:t>
      </w:r>
    </w:p>
    <w:bookmarkEnd w:id="17"/>
    <w:bookmarkStart w:name="z22" w:id="18"/>
    <w:p>
      <w:pPr>
        <w:spacing w:after="0"/>
        <w:ind w:left="0"/>
        <w:jc w:val="both"/>
      </w:pPr>
      <w:r>
        <w:rPr>
          <w:rFonts w:ascii="Times New Roman"/>
          <w:b w:val="false"/>
          <w:i w:val="false"/>
          <w:color w:val="000000"/>
          <w:sz w:val="28"/>
        </w:rPr>
        <w:t>
      5) подготовка проектной документации и плана мониторинга проекта на основе национальных или международных методик.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На стадии планирования внутреннего проекта инициатор составляет описание проекта, определяет базовые условия для его выполнения, способы сокращения выбросов парниковых газов или увеличения их поглощения, предварительно оценивает ожидаемое сокращение выбросов парниковых газов или увеличение их поглощения, идентифицирует риски, связанные с реализацией проекта, составляет предварительный календарный план выполнения проекта.</w:t>
      </w:r>
    </w:p>
    <w:bookmarkEnd w:id="19"/>
    <w:bookmarkStart w:name="z24" w:id="20"/>
    <w:p>
      <w:pPr>
        <w:spacing w:after="0"/>
        <w:ind w:left="0"/>
        <w:jc w:val="both"/>
      </w:pPr>
      <w:r>
        <w:rPr>
          <w:rFonts w:ascii="Times New Roman"/>
          <w:b w:val="false"/>
          <w:i w:val="false"/>
          <w:color w:val="000000"/>
          <w:sz w:val="28"/>
        </w:rPr>
        <w:t xml:space="preserve">
      6. Если внутренний проект не подпадает под одностадийную процедуру рассмотрения, то инициатор проекта по результатам стадии планирования готовит концепцию проекта (проектную идею)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bookmarkStart w:name="z25" w:id="21"/>
    <w:p>
      <w:pPr>
        <w:spacing w:after="0"/>
        <w:ind w:left="0"/>
        <w:jc w:val="both"/>
      </w:pPr>
      <w:r>
        <w:rPr>
          <w:rFonts w:ascii="Times New Roman"/>
          <w:b w:val="false"/>
          <w:i w:val="false"/>
          <w:color w:val="000000"/>
          <w:sz w:val="28"/>
        </w:rPr>
        <w:t>
      7. Заявитель проекта проводит оценку базового сценария внутреннего проекта на основе:</w:t>
      </w:r>
    </w:p>
    <w:bookmarkEnd w:id="21"/>
    <w:p>
      <w:pPr>
        <w:spacing w:after="0"/>
        <w:ind w:left="0"/>
        <w:jc w:val="both"/>
      </w:pPr>
      <w:r>
        <w:rPr>
          <w:rFonts w:ascii="Times New Roman"/>
          <w:b w:val="false"/>
          <w:i w:val="false"/>
          <w:color w:val="000000"/>
          <w:sz w:val="28"/>
        </w:rPr>
        <w:t>
      1) сведений о фактических выбросах парниковых газов из источников и (или) их абсорбции поглотителями;</w:t>
      </w:r>
    </w:p>
    <w:p>
      <w:pPr>
        <w:spacing w:after="0"/>
        <w:ind w:left="0"/>
        <w:jc w:val="both"/>
      </w:pPr>
      <w:r>
        <w:rPr>
          <w:rFonts w:ascii="Times New Roman"/>
          <w:b w:val="false"/>
          <w:i w:val="false"/>
          <w:color w:val="000000"/>
          <w:sz w:val="28"/>
        </w:rPr>
        <w:t>
      2) учета возможных неопределенностей в отношении условий реализации внутреннего проекта;</w:t>
      </w:r>
    </w:p>
    <w:p>
      <w:pPr>
        <w:spacing w:after="0"/>
        <w:ind w:left="0"/>
        <w:jc w:val="both"/>
      </w:pPr>
      <w:r>
        <w:rPr>
          <w:rFonts w:ascii="Times New Roman"/>
          <w:b w:val="false"/>
          <w:i w:val="false"/>
          <w:color w:val="000000"/>
          <w:sz w:val="28"/>
        </w:rPr>
        <w:t>
      3) учета стратегических планов, программ и действия регулирующих норм по соответствующим видам экономической деятельности;</w:t>
      </w:r>
    </w:p>
    <w:p>
      <w:pPr>
        <w:spacing w:after="0"/>
        <w:ind w:left="0"/>
        <w:jc w:val="both"/>
      </w:pPr>
      <w:r>
        <w:rPr>
          <w:rFonts w:ascii="Times New Roman"/>
          <w:b w:val="false"/>
          <w:i w:val="false"/>
          <w:color w:val="000000"/>
          <w:sz w:val="28"/>
        </w:rPr>
        <w:t>
      4) одной из утвержденных национальных или международных методик.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8. В случае использования в одном внутреннем проекте нескольких однотипных источников и единых технологий допускается разработка базового сценария для одного источника и распространение этих исходных условий на другие источники.</w:t>
      </w:r>
    </w:p>
    <w:bookmarkEnd w:id="22"/>
    <w:bookmarkStart w:name="z30" w:id="23"/>
    <w:p>
      <w:pPr>
        <w:spacing w:after="0"/>
        <w:ind w:left="0"/>
        <w:jc w:val="both"/>
      </w:pPr>
      <w:r>
        <w:rPr>
          <w:rFonts w:ascii="Times New Roman"/>
          <w:b w:val="false"/>
          <w:i w:val="false"/>
          <w:color w:val="000000"/>
          <w:sz w:val="28"/>
        </w:rPr>
        <w:t xml:space="preserve">
      9. Разработка проектной документаций для внутреннего проекта по сокращению выбросов парниковых газов и проектной документации для проекта по увеличению поглощения парниковых газов производятся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23"/>
    <w:bookmarkStart w:name="z31" w:id="24"/>
    <w:p>
      <w:pPr>
        <w:spacing w:after="0"/>
        <w:ind w:left="0"/>
        <w:jc w:val="both"/>
      </w:pPr>
      <w:r>
        <w:rPr>
          <w:rFonts w:ascii="Times New Roman"/>
          <w:b w:val="false"/>
          <w:i w:val="false"/>
          <w:color w:val="000000"/>
          <w:sz w:val="28"/>
        </w:rPr>
        <w:t>
      10. Заявитель проекта разрабатывает процедуры количественного определения сокращения выбросов парниковых газов или увеличения их поглощения по отношению к базовому сценарию проекта.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11. Описание разработанных или использованных заявителем проекта процедур количественного определения и мониторинга включается в план мониторинга, который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разработки внутренних проектов по</w:t>
            </w:r>
            <w:r>
              <w:br/>
            </w:r>
            <w:r>
              <w:rPr>
                <w:rFonts w:ascii="Times New Roman"/>
                <w:b w:val="false"/>
                <w:i w:val="false"/>
                <w:color w:val="000000"/>
                <w:sz w:val="20"/>
              </w:rPr>
              <w:t>сокращению выбросов парниковых газов</w:t>
            </w:r>
          </w:p>
        </w:tc>
      </w:tr>
    </w:tbl>
    <w:p>
      <w:pPr>
        <w:spacing w:after="0"/>
        <w:ind w:left="0"/>
        <w:jc w:val="both"/>
      </w:pPr>
      <w:r>
        <w:rPr>
          <w:rFonts w:ascii="Times New Roman"/>
          <w:b w:val="false"/>
          <w:i w:val="false"/>
          <w:color w:val="000000"/>
          <w:sz w:val="28"/>
        </w:rPr>
        <w:t xml:space="preserve">
      форма             </w:t>
      </w:r>
    </w:p>
    <w:bookmarkStart w:name="z34" w:id="26"/>
    <w:p>
      <w:pPr>
        <w:spacing w:after="0"/>
        <w:ind w:left="0"/>
        <w:jc w:val="left"/>
      </w:pPr>
      <w:r>
        <w:rPr>
          <w:rFonts w:ascii="Times New Roman"/>
          <w:b/>
          <w:i w:val="false"/>
          <w:color w:val="000000"/>
        </w:rPr>
        <w:t xml:space="preserve"> Концепция проекта (проектная идея)</w:t>
      </w:r>
    </w:p>
    <w:bookmarkEnd w:id="26"/>
    <w:bookmarkStart w:name="z35" w:id="27"/>
    <w:p>
      <w:pPr>
        <w:spacing w:after="0"/>
        <w:ind w:left="0"/>
        <w:jc w:val="both"/>
      </w:pPr>
      <w:r>
        <w:rPr>
          <w:rFonts w:ascii="Times New Roman"/>
          <w:b w:val="false"/>
          <w:i w:val="false"/>
          <w:color w:val="000000"/>
          <w:sz w:val="28"/>
        </w:rPr>
        <w:t>
      1. Краткое описание проекта: название; цель; тип проекта; предполагаемое место реализации; краткое описание проекта и предлагаемые меры.</w:t>
      </w:r>
    </w:p>
    <w:bookmarkEnd w:id="27"/>
    <w:bookmarkStart w:name="z36" w:id="28"/>
    <w:p>
      <w:pPr>
        <w:spacing w:after="0"/>
        <w:ind w:left="0"/>
        <w:jc w:val="both"/>
      </w:pPr>
      <w:r>
        <w:rPr>
          <w:rFonts w:ascii="Times New Roman"/>
          <w:b w:val="false"/>
          <w:i w:val="false"/>
          <w:color w:val="000000"/>
          <w:sz w:val="28"/>
        </w:rPr>
        <w:t>
      2. Информация о заявителе внутреннего проекта: Фамилия, имя, отчество (при наличии) физического лица или наименование юридического лица; регистрационные данные, адрес; контактное лицо по проекту; основной вид деятельности.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3. Описание базовых условий, существующих до выполнения проекта: наиболее вероятная технология и уровень выбросов, которые имели бы место в отсутствие предлагаемого проекта; существующие законодательные, экономические и иные условия.</w:t>
      </w:r>
    </w:p>
    <w:bookmarkEnd w:id="29"/>
    <w:bookmarkStart w:name="z38" w:id="30"/>
    <w:p>
      <w:pPr>
        <w:spacing w:after="0"/>
        <w:ind w:left="0"/>
        <w:jc w:val="both"/>
      </w:pPr>
      <w:r>
        <w:rPr>
          <w:rFonts w:ascii="Times New Roman"/>
          <w:b w:val="false"/>
          <w:i w:val="false"/>
          <w:color w:val="000000"/>
          <w:sz w:val="28"/>
        </w:rPr>
        <w:t>
      4. Способы сокращения выбросов и увеличения поглощения парниковых газов и финансирование: указание категории деятельности, например, переход на использование возобновляемых источников энергии, меры по энергоэффективности, увеличение лесистости и т.д.; краткое описание технических аспектов и планируемых технологий; ожидаемые затраты на реализацию проекта.</w:t>
      </w:r>
    </w:p>
    <w:bookmarkEnd w:id="30"/>
    <w:bookmarkStart w:name="z39" w:id="31"/>
    <w:p>
      <w:pPr>
        <w:spacing w:after="0"/>
        <w:ind w:left="0"/>
        <w:jc w:val="both"/>
      </w:pPr>
      <w:r>
        <w:rPr>
          <w:rFonts w:ascii="Times New Roman"/>
          <w:b w:val="false"/>
          <w:i w:val="false"/>
          <w:color w:val="000000"/>
          <w:sz w:val="28"/>
        </w:rPr>
        <w:t>
      5. Ожидаемое сокращение или увеличение поглощения: виды парниковых газов; предварительно оцениваемые объемы сокращений выбросов или увеличения поглощения; ожидаемый период для достижения сокращения или увеличения поглощения.</w:t>
      </w:r>
    </w:p>
    <w:bookmarkEnd w:id="31"/>
    <w:bookmarkStart w:name="z40" w:id="32"/>
    <w:p>
      <w:pPr>
        <w:spacing w:after="0"/>
        <w:ind w:left="0"/>
        <w:jc w:val="both"/>
      </w:pPr>
      <w:r>
        <w:rPr>
          <w:rFonts w:ascii="Times New Roman"/>
          <w:b w:val="false"/>
          <w:i w:val="false"/>
          <w:color w:val="000000"/>
          <w:sz w:val="28"/>
        </w:rPr>
        <w:t>
      6. Риски, связанные с реализацией проекта, в том числе в отношении поиска инвесторов, реализации проекта по планируемому месту реализации, утечек выбросов, которые могут иметь место вследствие осуществления проекта за пределами его границ.</w:t>
      </w:r>
    </w:p>
    <w:bookmarkEnd w:id="32"/>
    <w:bookmarkStart w:name="z41" w:id="33"/>
    <w:p>
      <w:pPr>
        <w:spacing w:after="0"/>
        <w:ind w:left="0"/>
        <w:jc w:val="both"/>
      </w:pPr>
      <w:r>
        <w:rPr>
          <w:rFonts w:ascii="Times New Roman"/>
          <w:b w:val="false"/>
          <w:i w:val="false"/>
          <w:color w:val="000000"/>
          <w:sz w:val="28"/>
        </w:rPr>
        <w:t>
      7. Календарный план выполнения проекта: текущий статус проекта; ожидаемые сроки подготовки проектной документации, начала реализации проекта; продолжительность проекта.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разработки внутренних проектов по</w:t>
            </w:r>
            <w:r>
              <w:br/>
            </w:r>
            <w:r>
              <w:rPr>
                <w:rFonts w:ascii="Times New Roman"/>
                <w:b w:val="false"/>
                <w:i w:val="false"/>
                <w:color w:val="000000"/>
                <w:sz w:val="20"/>
              </w:rPr>
              <w:t>сокращению выбросов парниковых газов</w:t>
            </w:r>
          </w:p>
        </w:tc>
      </w:tr>
    </w:tbl>
    <w:p>
      <w:pPr>
        <w:spacing w:after="0"/>
        <w:ind w:left="0"/>
        <w:jc w:val="both"/>
      </w:pPr>
      <w:r>
        <w:rPr>
          <w:rFonts w:ascii="Times New Roman"/>
          <w:b w:val="false"/>
          <w:i w:val="false"/>
          <w:color w:val="000000"/>
          <w:sz w:val="28"/>
        </w:rPr>
        <w:t xml:space="preserve">
      форма             </w:t>
      </w:r>
    </w:p>
    <w:bookmarkStart w:name="z43" w:id="34"/>
    <w:p>
      <w:pPr>
        <w:spacing w:after="0"/>
        <w:ind w:left="0"/>
        <w:jc w:val="left"/>
      </w:pPr>
      <w:r>
        <w:rPr>
          <w:rFonts w:ascii="Times New Roman"/>
          <w:b/>
          <w:i w:val="false"/>
          <w:color w:val="000000"/>
        </w:rPr>
        <w:t xml:space="preserve">  Проектная документация для внутреннего проекта</w:t>
      </w:r>
      <w:r>
        <w:br/>
      </w:r>
      <w:r>
        <w:rPr>
          <w:rFonts w:ascii="Times New Roman"/>
          <w:b/>
          <w:i w:val="false"/>
          <w:color w:val="000000"/>
        </w:rPr>
        <w:t>по сокращению выбросов парниковых газов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об участниках проекта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инициатора проекта.</w:t>
            </w:r>
          </w:p>
          <w:p>
            <w:pPr>
              <w:spacing w:after="20"/>
              <w:ind w:left="20"/>
              <w:jc w:val="both"/>
            </w:pPr>
            <w:r>
              <w:rPr>
                <w:rFonts w:ascii="Times New Roman"/>
                <w:b w:val="false"/>
                <w:i w:val="false"/>
                <w:color w:val="000000"/>
                <w:sz w:val="20"/>
              </w:rPr>
              <w:t>
2. Юридический адрес и адрес места нахождения инициатора проекта.</w:t>
            </w:r>
          </w:p>
          <w:p>
            <w:pPr>
              <w:spacing w:after="20"/>
              <w:ind w:left="20"/>
              <w:jc w:val="both"/>
            </w:pPr>
            <w:r>
              <w:rPr>
                <w:rFonts w:ascii="Times New Roman"/>
                <w:b w:val="false"/>
                <w:i w:val="false"/>
                <w:color w:val="000000"/>
                <w:sz w:val="20"/>
              </w:rPr>
              <w:t>
3. Основной вид деятельности инициатора проекта.</w:t>
            </w:r>
          </w:p>
          <w:p>
            <w:pPr>
              <w:spacing w:after="20"/>
              <w:ind w:left="20"/>
              <w:jc w:val="both"/>
            </w:pPr>
            <w:r>
              <w:rPr>
                <w:rFonts w:ascii="Times New Roman"/>
                <w:b w:val="false"/>
                <w:i w:val="false"/>
                <w:color w:val="000000"/>
                <w:sz w:val="20"/>
              </w:rPr>
              <w:t>
4. Данные о государственной регистрации инициатора проекта.</w:t>
            </w:r>
          </w:p>
          <w:p>
            <w:pPr>
              <w:spacing w:after="20"/>
              <w:ind w:left="20"/>
              <w:jc w:val="both"/>
            </w:pPr>
            <w:r>
              <w:rPr>
                <w:rFonts w:ascii="Times New Roman"/>
                <w:b w:val="false"/>
                <w:i w:val="false"/>
                <w:color w:val="000000"/>
                <w:sz w:val="20"/>
              </w:rPr>
              <w:t>
5. Фамилия, имя, отчество (при наличии) руководителя инициатора</w:t>
            </w:r>
          </w:p>
          <w:p>
            <w:pPr>
              <w:spacing w:after="20"/>
              <w:ind w:left="20"/>
              <w:jc w:val="both"/>
            </w:pPr>
            <w:r>
              <w:rPr>
                <w:rFonts w:ascii="Times New Roman"/>
                <w:b w:val="false"/>
                <w:i w:val="false"/>
                <w:color w:val="000000"/>
                <w:sz w:val="20"/>
              </w:rPr>
              <w:t>
проекта.</w:t>
            </w:r>
          </w:p>
          <w:p>
            <w:pPr>
              <w:spacing w:after="20"/>
              <w:ind w:left="20"/>
              <w:jc w:val="both"/>
            </w:pPr>
            <w:r>
              <w:rPr>
                <w:rFonts w:ascii="Times New Roman"/>
                <w:b w:val="false"/>
                <w:i w:val="false"/>
                <w:color w:val="000000"/>
                <w:sz w:val="20"/>
              </w:rPr>
              <w:t>
6. Фамилия, имя, отчество (при наличии), адрес, телефон, факс и</w:t>
            </w:r>
          </w:p>
          <w:p>
            <w:pPr>
              <w:spacing w:after="20"/>
              <w:ind w:left="20"/>
              <w:jc w:val="both"/>
            </w:pPr>
            <w:r>
              <w:rPr>
                <w:rFonts w:ascii="Times New Roman"/>
                <w:b w:val="false"/>
                <w:i w:val="false"/>
                <w:color w:val="000000"/>
                <w:sz w:val="20"/>
              </w:rPr>
              <w:t>
адрес электронной почты контактного лица инициатора проекта.</w:t>
            </w:r>
          </w:p>
          <w:p>
            <w:pPr>
              <w:spacing w:after="20"/>
              <w:ind w:left="20"/>
              <w:jc w:val="both"/>
            </w:pPr>
            <w:r>
              <w:rPr>
                <w:rFonts w:ascii="Times New Roman"/>
                <w:b w:val="false"/>
                <w:i w:val="false"/>
                <w:color w:val="000000"/>
                <w:sz w:val="20"/>
              </w:rPr>
              <w:t>
7. Наименование инвестора проекта.</w:t>
            </w:r>
          </w:p>
          <w:p>
            <w:pPr>
              <w:spacing w:after="20"/>
              <w:ind w:left="20"/>
              <w:jc w:val="both"/>
            </w:pPr>
            <w:r>
              <w:rPr>
                <w:rFonts w:ascii="Times New Roman"/>
                <w:b w:val="false"/>
                <w:i w:val="false"/>
                <w:color w:val="000000"/>
                <w:sz w:val="20"/>
              </w:rPr>
              <w:t>
8. Юридический адрес и адрес места нахождения инвестора проекта.</w:t>
            </w:r>
          </w:p>
          <w:p>
            <w:pPr>
              <w:spacing w:after="20"/>
              <w:ind w:left="20"/>
              <w:jc w:val="both"/>
            </w:pPr>
            <w:r>
              <w:rPr>
                <w:rFonts w:ascii="Times New Roman"/>
                <w:b w:val="false"/>
                <w:i w:val="false"/>
                <w:color w:val="000000"/>
                <w:sz w:val="20"/>
              </w:rPr>
              <w:t>
9. Основной вид деятельности инвестора проекта.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описание проекта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проекта.</w:t>
            </w:r>
          </w:p>
          <w:p>
            <w:pPr>
              <w:spacing w:after="20"/>
              <w:ind w:left="20"/>
              <w:jc w:val="both"/>
            </w:pPr>
            <w:r>
              <w:rPr>
                <w:rFonts w:ascii="Times New Roman"/>
                <w:b w:val="false"/>
                <w:i w:val="false"/>
                <w:color w:val="000000"/>
                <w:sz w:val="20"/>
              </w:rPr>
              <w:t>
2. Описание проекта.</w:t>
            </w:r>
          </w:p>
          <w:p>
            <w:pPr>
              <w:spacing w:after="20"/>
              <w:ind w:left="20"/>
              <w:jc w:val="both"/>
            </w:pPr>
            <w:r>
              <w:rPr>
                <w:rFonts w:ascii="Times New Roman"/>
                <w:b w:val="false"/>
                <w:i w:val="false"/>
                <w:color w:val="000000"/>
                <w:sz w:val="20"/>
              </w:rPr>
              <w:t>
3. Участники проекта.</w:t>
            </w:r>
          </w:p>
          <w:p>
            <w:pPr>
              <w:spacing w:after="20"/>
              <w:ind w:left="20"/>
              <w:jc w:val="both"/>
            </w:pPr>
            <w:r>
              <w:rPr>
                <w:rFonts w:ascii="Times New Roman"/>
                <w:b w:val="false"/>
                <w:i w:val="false"/>
                <w:color w:val="000000"/>
                <w:sz w:val="20"/>
              </w:rPr>
              <w:t>
4. Техническое описание проекта.</w:t>
            </w:r>
          </w:p>
          <w:p>
            <w:pPr>
              <w:spacing w:after="20"/>
              <w:ind w:left="20"/>
              <w:jc w:val="both"/>
            </w:pPr>
            <w:r>
              <w:rPr>
                <w:rFonts w:ascii="Times New Roman"/>
                <w:b w:val="false"/>
                <w:i w:val="false"/>
                <w:color w:val="000000"/>
                <w:sz w:val="20"/>
              </w:rPr>
              <w:t>
5. Место расположения проекта (регион, населенный пункт, сведения о</w:t>
            </w:r>
          </w:p>
          <w:p>
            <w:pPr>
              <w:spacing w:after="20"/>
              <w:ind w:left="20"/>
              <w:jc w:val="both"/>
            </w:pPr>
            <w:r>
              <w:rPr>
                <w:rFonts w:ascii="Times New Roman"/>
                <w:b w:val="false"/>
                <w:i w:val="false"/>
                <w:color w:val="000000"/>
                <w:sz w:val="20"/>
              </w:rPr>
              <w:t>
географическом расположении проекта, позволяющие однозначно</w:t>
            </w:r>
          </w:p>
          <w:p>
            <w:pPr>
              <w:spacing w:after="20"/>
              <w:ind w:left="20"/>
              <w:jc w:val="both"/>
            </w:pPr>
            <w:r>
              <w:rPr>
                <w:rFonts w:ascii="Times New Roman"/>
                <w:b w:val="false"/>
                <w:i w:val="false"/>
                <w:color w:val="000000"/>
                <w:sz w:val="20"/>
              </w:rPr>
              <w:t>
идентифицировать проект).</w:t>
            </w:r>
          </w:p>
          <w:p>
            <w:pPr>
              <w:spacing w:after="20"/>
              <w:ind w:left="20"/>
              <w:jc w:val="both"/>
            </w:pPr>
            <w:r>
              <w:rPr>
                <w:rFonts w:ascii="Times New Roman"/>
                <w:b w:val="false"/>
                <w:i w:val="false"/>
                <w:color w:val="000000"/>
                <w:sz w:val="20"/>
              </w:rPr>
              <w:t>
6. Технология (-ии), которые будут внедрены, или меры, операции или</w:t>
            </w:r>
          </w:p>
          <w:p>
            <w:pPr>
              <w:spacing w:after="20"/>
              <w:ind w:left="20"/>
              <w:jc w:val="both"/>
            </w:pPr>
            <w:r>
              <w:rPr>
                <w:rFonts w:ascii="Times New Roman"/>
                <w:b w:val="false"/>
                <w:i w:val="false"/>
                <w:color w:val="000000"/>
                <w:sz w:val="20"/>
              </w:rPr>
              <w:t>
действия, которые будут предприняты в рамках проекта.</w:t>
            </w:r>
          </w:p>
          <w:p>
            <w:pPr>
              <w:spacing w:after="20"/>
              <w:ind w:left="20"/>
              <w:jc w:val="both"/>
            </w:pPr>
            <w:r>
              <w:rPr>
                <w:rFonts w:ascii="Times New Roman"/>
                <w:b w:val="false"/>
                <w:i w:val="false"/>
                <w:color w:val="000000"/>
                <w:sz w:val="20"/>
              </w:rPr>
              <w:t>
7. Краткое объяснение того, как антропогенные выбросы парниковых</w:t>
            </w:r>
          </w:p>
          <w:p>
            <w:pPr>
              <w:spacing w:after="20"/>
              <w:ind w:left="20"/>
              <w:jc w:val="both"/>
            </w:pPr>
            <w:r>
              <w:rPr>
                <w:rFonts w:ascii="Times New Roman"/>
                <w:b w:val="false"/>
                <w:i w:val="false"/>
                <w:color w:val="000000"/>
                <w:sz w:val="20"/>
              </w:rPr>
              <w:t>
газов из источников будут сокращаться через предлагаемый проект,</w:t>
            </w:r>
          </w:p>
          <w:p>
            <w:pPr>
              <w:spacing w:after="20"/>
              <w:ind w:left="20"/>
              <w:jc w:val="both"/>
            </w:pPr>
            <w:r>
              <w:rPr>
                <w:rFonts w:ascii="Times New Roman"/>
                <w:b w:val="false"/>
                <w:i w:val="false"/>
                <w:color w:val="000000"/>
                <w:sz w:val="20"/>
              </w:rPr>
              <w:t>
включая пояснение, почему сокращение выбросов не произойдет, если</w:t>
            </w:r>
          </w:p>
          <w:p>
            <w:pPr>
              <w:spacing w:after="20"/>
              <w:ind w:left="20"/>
              <w:jc w:val="both"/>
            </w:pPr>
            <w:r>
              <w:rPr>
                <w:rFonts w:ascii="Times New Roman"/>
                <w:b w:val="false"/>
                <w:i w:val="false"/>
                <w:color w:val="000000"/>
                <w:sz w:val="20"/>
              </w:rPr>
              <w:t>
проект не будет внедрен, принимая во внимание базовые условия.</w:t>
            </w:r>
          </w:p>
          <w:p>
            <w:pPr>
              <w:spacing w:after="20"/>
              <w:ind w:left="20"/>
              <w:jc w:val="both"/>
            </w:pPr>
            <w:r>
              <w:rPr>
                <w:rFonts w:ascii="Times New Roman"/>
                <w:b w:val="false"/>
                <w:i w:val="false"/>
                <w:color w:val="000000"/>
                <w:sz w:val="20"/>
              </w:rPr>
              <w:t>
8. Оцениваемые объемы сокращения выбросов за период выпуска</w:t>
            </w:r>
          </w:p>
          <w:p>
            <w:pPr>
              <w:spacing w:after="20"/>
              <w:ind w:left="20"/>
              <w:jc w:val="both"/>
            </w:pPr>
            <w:r>
              <w:rPr>
                <w:rFonts w:ascii="Times New Roman"/>
                <w:b w:val="false"/>
                <w:i w:val="false"/>
                <w:color w:val="000000"/>
                <w:sz w:val="20"/>
              </w:rPr>
              <w:t>
углеродных единиц по проекту.</w:t>
            </w:r>
          </w:p>
          <w:p>
            <w:pPr>
              <w:spacing w:after="20"/>
              <w:ind w:left="20"/>
              <w:jc w:val="both"/>
            </w:pPr>
            <w:r>
              <w:rPr>
                <w:rFonts w:ascii="Times New Roman"/>
                <w:b w:val="false"/>
                <w:i w:val="false"/>
                <w:color w:val="000000"/>
                <w:sz w:val="20"/>
              </w:rPr>
              <w:t>
9. Одобрение проекта заинтересованными сторонами.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Базовый сценарий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и обоснование базового сценария.</w:t>
            </w:r>
          </w:p>
          <w:p>
            <w:pPr>
              <w:spacing w:after="20"/>
              <w:ind w:left="20"/>
              <w:jc w:val="both"/>
            </w:pPr>
            <w:r>
              <w:rPr>
                <w:rFonts w:ascii="Times New Roman"/>
                <w:b w:val="false"/>
                <w:i w:val="false"/>
                <w:color w:val="000000"/>
                <w:sz w:val="20"/>
              </w:rPr>
              <w:t>
2. Описание того, как антропогенные выбросы парниковых газов из</w:t>
            </w:r>
          </w:p>
          <w:p>
            <w:pPr>
              <w:spacing w:after="20"/>
              <w:ind w:left="20"/>
              <w:jc w:val="both"/>
            </w:pPr>
            <w:r>
              <w:rPr>
                <w:rFonts w:ascii="Times New Roman"/>
                <w:b w:val="false"/>
                <w:i w:val="false"/>
                <w:color w:val="000000"/>
                <w:sz w:val="20"/>
              </w:rPr>
              <w:t>
источников сокращаются ниже того уровня, который бы имел место при</w:t>
            </w:r>
          </w:p>
          <w:p>
            <w:pPr>
              <w:spacing w:after="20"/>
              <w:ind w:left="20"/>
              <w:jc w:val="both"/>
            </w:pPr>
            <w:r>
              <w:rPr>
                <w:rFonts w:ascii="Times New Roman"/>
                <w:b w:val="false"/>
                <w:i w:val="false"/>
                <w:color w:val="000000"/>
                <w:sz w:val="20"/>
              </w:rPr>
              <w:t>
отсутствии проекта.</w:t>
            </w:r>
          </w:p>
          <w:p>
            <w:pPr>
              <w:spacing w:after="20"/>
              <w:ind w:left="20"/>
              <w:jc w:val="both"/>
            </w:pPr>
            <w:r>
              <w:rPr>
                <w:rFonts w:ascii="Times New Roman"/>
                <w:b w:val="false"/>
                <w:i w:val="false"/>
                <w:color w:val="000000"/>
                <w:sz w:val="20"/>
              </w:rPr>
              <w:t>
3. Описание того, как определены границы деятельности применительно</w:t>
            </w:r>
          </w:p>
          <w:p>
            <w:pPr>
              <w:spacing w:after="20"/>
              <w:ind w:left="20"/>
              <w:jc w:val="both"/>
            </w:pPr>
            <w:r>
              <w:rPr>
                <w:rFonts w:ascii="Times New Roman"/>
                <w:b w:val="false"/>
                <w:i w:val="false"/>
                <w:color w:val="000000"/>
                <w:sz w:val="20"/>
              </w:rPr>
              <w:t>
к проекту.</w:t>
            </w:r>
          </w:p>
          <w:p>
            <w:pPr>
              <w:spacing w:after="20"/>
              <w:ind w:left="20"/>
              <w:jc w:val="both"/>
            </w:pPr>
            <w:r>
              <w:rPr>
                <w:rFonts w:ascii="Times New Roman"/>
                <w:b w:val="false"/>
                <w:i w:val="false"/>
                <w:color w:val="000000"/>
                <w:sz w:val="20"/>
              </w:rPr>
              <w:t>
4. Дополнительная информация по базовому сценарию, включая дату</w:t>
            </w:r>
          </w:p>
          <w:p>
            <w:pPr>
              <w:spacing w:after="20"/>
              <w:ind w:left="20"/>
              <w:jc w:val="both"/>
            </w:pPr>
            <w:r>
              <w:rPr>
                <w:rFonts w:ascii="Times New Roman"/>
                <w:b w:val="false"/>
                <w:i w:val="false"/>
                <w:color w:val="000000"/>
                <w:sz w:val="20"/>
              </w:rPr>
              <w:t>
определения и лиц, вовлеченных в его определение.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Продолжительность проекта и периода выпуска углеродных единиц</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начала проекта.</w:t>
            </w:r>
          </w:p>
          <w:p>
            <w:pPr>
              <w:spacing w:after="20"/>
              <w:ind w:left="20"/>
              <w:jc w:val="both"/>
            </w:pPr>
            <w:r>
              <w:rPr>
                <w:rFonts w:ascii="Times New Roman"/>
                <w:b w:val="false"/>
                <w:i w:val="false"/>
                <w:color w:val="000000"/>
                <w:sz w:val="20"/>
              </w:rPr>
              <w:t>
2. Ожидаемая продолжительность проекта.</w:t>
            </w:r>
          </w:p>
          <w:p>
            <w:pPr>
              <w:spacing w:after="20"/>
              <w:ind w:left="20"/>
              <w:jc w:val="both"/>
            </w:pPr>
            <w:r>
              <w:rPr>
                <w:rFonts w:ascii="Times New Roman"/>
                <w:b w:val="false"/>
                <w:i w:val="false"/>
                <w:color w:val="000000"/>
                <w:sz w:val="20"/>
              </w:rPr>
              <w:t>
3. Продолжительность периода выпуска углеродных единиц.</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сокращения выброса парниковых газов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Оцениваемые объемы выбросов по проекту.</w:t>
            </w:r>
          </w:p>
          <w:p>
            <w:pPr>
              <w:spacing w:after="20"/>
              <w:ind w:left="20"/>
              <w:jc w:val="both"/>
            </w:pPr>
            <w:r>
              <w:rPr>
                <w:rFonts w:ascii="Times New Roman"/>
                <w:b w:val="false"/>
                <w:i w:val="false"/>
                <w:color w:val="000000"/>
                <w:sz w:val="20"/>
              </w:rPr>
              <w:t>
2. Оцениваемые утечки.</w:t>
            </w:r>
          </w:p>
          <w:p>
            <w:pPr>
              <w:spacing w:after="20"/>
              <w:ind w:left="20"/>
              <w:jc w:val="both"/>
            </w:pPr>
            <w:r>
              <w:rPr>
                <w:rFonts w:ascii="Times New Roman"/>
                <w:b w:val="false"/>
                <w:i w:val="false"/>
                <w:color w:val="000000"/>
                <w:sz w:val="20"/>
              </w:rPr>
              <w:t>
3. Сумма ожидаемого сокращения и утечек выбросов.</w:t>
            </w:r>
          </w:p>
          <w:p>
            <w:pPr>
              <w:spacing w:after="20"/>
              <w:ind w:left="20"/>
              <w:jc w:val="both"/>
            </w:pPr>
            <w:r>
              <w:rPr>
                <w:rFonts w:ascii="Times New Roman"/>
                <w:b w:val="false"/>
                <w:i w:val="false"/>
                <w:color w:val="000000"/>
                <w:sz w:val="20"/>
              </w:rPr>
              <w:t>
4. Оцениваемые выбросы по базовому сценарию.</w:t>
            </w:r>
          </w:p>
          <w:p>
            <w:pPr>
              <w:spacing w:after="20"/>
              <w:ind w:left="20"/>
              <w:jc w:val="both"/>
            </w:pPr>
            <w:r>
              <w:rPr>
                <w:rFonts w:ascii="Times New Roman"/>
                <w:b w:val="false"/>
                <w:i w:val="false"/>
                <w:color w:val="000000"/>
                <w:sz w:val="20"/>
              </w:rPr>
              <w:t>
5. Объем сокращений выбросов от проекта с учетом ожидаемых утечек</w:t>
            </w:r>
          </w:p>
          <w:p>
            <w:pPr>
              <w:spacing w:after="20"/>
              <w:ind w:left="20"/>
              <w:jc w:val="both"/>
            </w:pPr>
            <w:r>
              <w:rPr>
                <w:rFonts w:ascii="Times New Roman"/>
                <w:b w:val="false"/>
                <w:i w:val="false"/>
                <w:color w:val="000000"/>
                <w:sz w:val="20"/>
              </w:rPr>
              <w:t>
6. Общая таблица значений, полученных по пункту 1 и 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Комментарии заинтересованных сторон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комментариях заинтересованных сторон и как они были</w:t>
            </w:r>
          </w:p>
          <w:p>
            <w:pPr>
              <w:spacing w:after="20"/>
              <w:ind w:left="20"/>
              <w:jc w:val="both"/>
            </w:pPr>
            <w:r>
              <w:rPr>
                <w:rFonts w:ascii="Times New Roman"/>
                <w:b w:val="false"/>
                <w:i w:val="false"/>
                <w:color w:val="000000"/>
                <w:sz w:val="20"/>
              </w:rPr>
              <w:t>
учтены участниками проекта.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разработки внутренних проектов по</w:t>
            </w:r>
            <w:r>
              <w:br/>
            </w:r>
            <w:r>
              <w:rPr>
                <w:rFonts w:ascii="Times New Roman"/>
                <w:b w:val="false"/>
                <w:i w:val="false"/>
                <w:color w:val="000000"/>
                <w:sz w:val="20"/>
              </w:rPr>
              <w:t>сокращению выбросов парниковых газов</w:t>
            </w:r>
          </w:p>
        </w:tc>
      </w:tr>
    </w:tbl>
    <w:p>
      <w:pPr>
        <w:spacing w:after="0"/>
        <w:ind w:left="0"/>
        <w:jc w:val="both"/>
      </w:pPr>
      <w:r>
        <w:rPr>
          <w:rFonts w:ascii="Times New Roman"/>
          <w:b w:val="false"/>
          <w:i w:val="false"/>
          <w:color w:val="000000"/>
          <w:sz w:val="28"/>
        </w:rPr>
        <w:t xml:space="preserve">
      форма             </w:t>
      </w:r>
    </w:p>
    <w:bookmarkStart w:name="z45" w:id="35"/>
    <w:p>
      <w:pPr>
        <w:spacing w:after="0"/>
        <w:ind w:left="0"/>
        <w:jc w:val="left"/>
      </w:pPr>
      <w:r>
        <w:rPr>
          <w:rFonts w:ascii="Times New Roman"/>
          <w:b/>
          <w:i w:val="false"/>
          <w:color w:val="000000"/>
        </w:rPr>
        <w:t xml:space="preserve">  Проектная документация для проекта</w:t>
      </w:r>
      <w:r>
        <w:br/>
      </w:r>
      <w:r>
        <w:rPr>
          <w:rFonts w:ascii="Times New Roman"/>
          <w:b/>
          <w:i w:val="false"/>
          <w:color w:val="000000"/>
        </w:rPr>
        <w:t>по увеличению поглощения  парниковых газов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об участниках проектах</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инициатора проекта.</w:t>
            </w:r>
          </w:p>
          <w:p>
            <w:pPr>
              <w:spacing w:after="20"/>
              <w:ind w:left="20"/>
              <w:jc w:val="both"/>
            </w:pPr>
            <w:r>
              <w:rPr>
                <w:rFonts w:ascii="Times New Roman"/>
                <w:b w:val="false"/>
                <w:i w:val="false"/>
                <w:color w:val="000000"/>
                <w:sz w:val="20"/>
              </w:rPr>
              <w:t>
2. Юридический адрес и адрес места нахождения инициатора проекта:</w:t>
            </w:r>
          </w:p>
          <w:p>
            <w:pPr>
              <w:spacing w:after="20"/>
              <w:ind w:left="20"/>
              <w:jc w:val="both"/>
            </w:pPr>
            <w:r>
              <w:rPr>
                <w:rFonts w:ascii="Times New Roman"/>
                <w:b w:val="false"/>
                <w:i w:val="false"/>
                <w:color w:val="000000"/>
                <w:sz w:val="20"/>
              </w:rPr>
              <w:t>
3. Основной вид деятельности инициатора проекта.</w:t>
            </w:r>
          </w:p>
          <w:p>
            <w:pPr>
              <w:spacing w:after="20"/>
              <w:ind w:left="20"/>
              <w:jc w:val="both"/>
            </w:pPr>
            <w:r>
              <w:rPr>
                <w:rFonts w:ascii="Times New Roman"/>
                <w:b w:val="false"/>
                <w:i w:val="false"/>
                <w:color w:val="000000"/>
                <w:sz w:val="20"/>
              </w:rPr>
              <w:t>
4. Данные о государственной регистрации инициатора проекта.</w:t>
            </w:r>
          </w:p>
          <w:p>
            <w:pPr>
              <w:spacing w:after="20"/>
              <w:ind w:left="20"/>
              <w:jc w:val="both"/>
            </w:pPr>
            <w:r>
              <w:rPr>
                <w:rFonts w:ascii="Times New Roman"/>
                <w:b w:val="false"/>
                <w:i w:val="false"/>
                <w:color w:val="000000"/>
                <w:sz w:val="20"/>
              </w:rPr>
              <w:t>
5. Фамилия, имя, отчество (при наличии) руководителя инициатора</w:t>
            </w:r>
          </w:p>
          <w:p>
            <w:pPr>
              <w:spacing w:after="20"/>
              <w:ind w:left="20"/>
              <w:jc w:val="both"/>
            </w:pPr>
            <w:r>
              <w:rPr>
                <w:rFonts w:ascii="Times New Roman"/>
                <w:b w:val="false"/>
                <w:i w:val="false"/>
                <w:color w:val="000000"/>
                <w:sz w:val="20"/>
              </w:rPr>
              <w:t>
проекта.</w:t>
            </w:r>
          </w:p>
          <w:p>
            <w:pPr>
              <w:spacing w:after="20"/>
              <w:ind w:left="20"/>
              <w:jc w:val="both"/>
            </w:pPr>
            <w:r>
              <w:rPr>
                <w:rFonts w:ascii="Times New Roman"/>
                <w:b w:val="false"/>
                <w:i w:val="false"/>
                <w:color w:val="000000"/>
                <w:sz w:val="20"/>
              </w:rPr>
              <w:t>
6. Фамилия, имя, отчество (при наличии), адрес, телефон, факс и</w:t>
            </w:r>
          </w:p>
          <w:p>
            <w:pPr>
              <w:spacing w:after="20"/>
              <w:ind w:left="20"/>
              <w:jc w:val="both"/>
            </w:pPr>
            <w:r>
              <w:rPr>
                <w:rFonts w:ascii="Times New Roman"/>
                <w:b w:val="false"/>
                <w:i w:val="false"/>
                <w:color w:val="000000"/>
                <w:sz w:val="20"/>
              </w:rPr>
              <w:t>
адрес электронной почты контактного лица инициатора проекта.</w:t>
            </w:r>
          </w:p>
          <w:p>
            <w:pPr>
              <w:spacing w:after="20"/>
              <w:ind w:left="20"/>
              <w:jc w:val="both"/>
            </w:pPr>
            <w:r>
              <w:rPr>
                <w:rFonts w:ascii="Times New Roman"/>
                <w:b w:val="false"/>
                <w:i w:val="false"/>
                <w:color w:val="000000"/>
                <w:sz w:val="20"/>
              </w:rPr>
              <w:t>
7. Наименование инвестора проекта.</w:t>
            </w:r>
          </w:p>
          <w:p>
            <w:pPr>
              <w:spacing w:after="20"/>
              <w:ind w:left="20"/>
              <w:jc w:val="both"/>
            </w:pPr>
            <w:r>
              <w:rPr>
                <w:rFonts w:ascii="Times New Roman"/>
                <w:b w:val="false"/>
                <w:i w:val="false"/>
                <w:color w:val="000000"/>
                <w:sz w:val="20"/>
              </w:rPr>
              <w:t>
8. Юридический адрес и адрес места нахождения инвестора проекта.</w:t>
            </w:r>
          </w:p>
          <w:p>
            <w:pPr>
              <w:spacing w:after="20"/>
              <w:ind w:left="20"/>
              <w:jc w:val="both"/>
            </w:pPr>
            <w:r>
              <w:rPr>
                <w:rFonts w:ascii="Times New Roman"/>
                <w:b w:val="false"/>
                <w:i w:val="false"/>
                <w:color w:val="000000"/>
                <w:sz w:val="20"/>
              </w:rPr>
              <w:t>
9. Основной вид деятельности инвестора проекта.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описание проекта</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Название проекта.</w:t>
            </w:r>
          </w:p>
          <w:p>
            <w:pPr>
              <w:spacing w:after="20"/>
              <w:ind w:left="20"/>
              <w:jc w:val="both"/>
            </w:pPr>
            <w:r>
              <w:rPr>
                <w:rFonts w:ascii="Times New Roman"/>
                <w:b w:val="false"/>
                <w:i w:val="false"/>
                <w:color w:val="000000"/>
                <w:sz w:val="20"/>
              </w:rPr>
              <w:t>
2. Описание проекта.</w:t>
            </w:r>
          </w:p>
          <w:p>
            <w:pPr>
              <w:spacing w:after="20"/>
              <w:ind w:left="20"/>
              <w:jc w:val="both"/>
            </w:pPr>
            <w:r>
              <w:rPr>
                <w:rFonts w:ascii="Times New Roman"/>
                <w:b w:val="false"/>
                <w:i w:val="false"/>
                <w:color w:val="000000"/>
                <w:sz w:val="20"/>
              </w:rPr>
              <w:t>
3. Участники проекта.</w:t>
            </w:r>
          </w:p>
          <w:p>
            <w:pPr>
              <w:spacing w:after="20"/>
              <w:ind w:left="20"/>
              <w:jc w:val="both"/>
            </w:pPr>
            <w:r>
              <w:rPr>
                <w:rFonts w:ascii="Times New Roman"/>
                <w:b w:val="false"/>
                <w:i w:val="false"/>
                <w:color w:val="000000"/>
                <w:sz w:val="20"/>
              </w:rPr>
              <w:t>
4. Техническое описание проекта.</w:t>
            </w:r>
          </w:p>
          <w:p>
            <w:pPr>
              <w:spacing w:after="20"/>
              <w:ind w:left="20"/>
              <w:jc w:val="both"/>
            </w:pPr>
            <w:r>
              <w:rPr>
                <w:rFonts w:ascii="Times New Roman"/>
                <w:b w:val="false"/>
                <w:i w:val="false"/>
                <w:color w:val="000000"/>
                <w:sz w:val="20"/>
              </w:rPr>
              <w:t>
5. Место расположения проекта (регион, населенный пункт, сведения о</w:t>
            </w:r>
          </w:p>
          <w:p>
            <w:pPr>
              <w:spacing w:after="20"/>
              <w:ind w:left="20"/>
              <w:jc w:val="both"/>
            </w:pPr>
            <w:r>
              <w:rPr>
                <w:rFonts w:ascii="Times New Roman"/>
                <w:b w:val="false"/>
                <w:i w:val="false"/>
                <w:color w:val="000000"/>
                <w:sz w:val="20"/>
              </w:rPr>
              <w:t>
географическом расположении проекта, позволяющие однозначно</w:t>
            </w:r>
          </w:p>
          <w:p>
            <w:pPr>
              <w:spacing w:after="20"/>
              <w:ind w:left="20"/>
              <w:jc w:val="both"/>
            </w:pPr>
            <w:r>
              <w:rPr>
                <w:rFonts w:ascii="Times New Roman"/>
                <w:b w:val="false"/>
                <w:i w:val="false"/>
                <w:color w:val="000000"/>
                <w:sz w:val="20"/>
              </w:rPr>
              <w:t>
идентифицировать проект).</w:t>
            </w:r>
          </w:p>
          <w:p>
            <w:pPr>
              <w:spacing w:after="20"/>
              <w:ind w:left="20"/>
              <w:jc w:val="both"/>
            </w:pPr>
            <w:r>
              <w:rPr>
                <w:rFonts w:ascii="Times New Roman"/>
                <w:b w:val="false"/>
                <w:i w:val="false"/>
                <w:color w:val="000000"/>
                <w:sz w:val="20"/>
              </w:rPr>
              <w:t>
6. Технология (-ии), которые будут внедрены, или меры, операции или</w:t>
            </w:r>
          </w:p>
          <w:p>
            <w:pPr>
              <w:spacing w:after="20"/>
              <w:ind w:left="20"/>
              <w:jc w:val="both"/>
            </w:pPr>
            <w:r>
              <w:rPr>
                <w:rFonts w:ascii="Times New Roman"/>
                <w:b w:val="false"/>
                <w:i w:val="false"/>
                <w:color w:val="000000"/>
                <w:sz w:val="20"/>
              </w:rPr>
              <w:t>
действия, которые будут предприняты в рамках проекта.</w:t>
            </w:r>
          </w:p>
          <w:p>
            <w:pPr>
              <w:spacing w:after="20"/>
              <w:ind w:left="20"/>
              <w:jc w:val="both"/>
            </w:pPr>
            <w:r>
              <w:rPr>
                <w:rFonts w:ascii="Times New Roman"/>
                <w:b w:val="false"/>
                <w:i w:val="false"/>
                <w:color w:val="000000"/>
                <w:sz w:val="20"/>
              </w:rPr>
              <w:t>
7. Краткое объяснение того, как окончательное антропогенное</w:t>
            </w:r>
          </w:p>
          <w:p>
            <w:pPr>
              <w:spacing w:after="20"/>
              <w:ind w:left="20"/>
              <w:jc w:val="both"/>
            </w:pPr>
            <w:r>
              <w:rPr>
                <w:rFonts w:ascii="Times New Roman"/>
                <w:b w:val="false"/>
                <w:i w:val="false"/>
                <w:color w:val="000000"/>
                <w:sz w:val="20"/>
              </w:rPr>
              <w:t>
поглощение выбросов парниковых газов будет увеличено через</w:t>
            </w:r>
          </w:p>
          <w:p>
            <w:pPr>
              <w:spacing w:after="20"/>
              <w:ind w:left="20"/>
              <w:jc w:val="both"/>
            </w:pPr>
            <w:r>
              <w:rPr>
                <w:rFonts w:ascii="Times New Roman"/>
                <w:b w:val="false"/>
                <w:i w:val="false"/>
                <w:color w:val="000000"/>
                <w:sz w:val="20"/>
              </w:rPr>
              <w:t>
предлагаемый проект, включая пояснение, почему это повышение не</w:t>
            </w:r>
          </w:p>
          <w:p>
            <w:pPr>
              <w:spacing w:after="20"/>
              <w:ind w:left="20"/>
              <w:jc w:val="both"/>
            </w:pPr>
            <w:r>
              <w:rPr>
                <w:rFonts w:ascii="Times New Roman"/>
                <w:b w:val="false"/>
                <w:i w:val="false"/>
                <w:color w:val="000000"/>
                <w:sz w:val="20"/>
              </w:rPr>
              <w:t>
произойдет, если проект не будет внедрен, принимая во внимание</w:t>
            </w:r>
          </w:p>
          <w:p>
            <w:pPr>
              <w:spacing w:after="20"/>
              <w:ind w:left="20"/>
              <w:jc w:val="both"/>
            </w:pPr>
            <w:r>
              <w:rPr>
                <w:rFonts w:ascii="Times New Roman"/>
                <w:b w:val="false"/>
                <w:i w:val="false"/>
                <w:color w:val="000000"/>
                <w:sz w:val="20"/>
              </w:rPr>
              <w:t>
базовые условия.</w:t>
            </w:r>
          </w:p>
          <w:p>
            <w:pPr>
              <w:spacing w:after="20"/>
              <w:ind w:left="20"/>
              <w:jc w:val="both"/>
            </w:pPr>
            <w:r>
              <w:rPr>
                <w:rFonts w:ascii="Times New Roman"/>
                <w:b w:val="false"/>
                <w:i w:val="false"/>
                <w:color w:val="000000"/>
                <w:sz w:val="20"/>
              </w:rPr>
              <w:t>
8. Оцениваемые объемы окончательного увеличения поглощения за период</w:t>
            </w:r>
          </w:p>
          <w:p>
            <w:pPr>
              <w:spacing w:after="20"/>
              <w:ind w:left="20"/>
              <w:jc w:val="both"/>
            </w:pPr>
            <w:r>
              <w:rPr>
                <w:rFonts w:ascii="Times New Roman"/>
                <w:b w:val="false"/>
                <w:i w:val="false"/>
                <w:color w:val="000000"/>
                <w:sz w:val="20"/>
              </w:rPr>
              <w:t>
выпуска углеродных единиц.</w:t>
            </w:r>
          </w:p>
          <w:p>
            <w:pPr>
              <w:spacing w:after="20"/>
              <w:ind w:left="20"/>
              <w:jc w:val="both"/>
            </w:pPr>
            <w:r>
              <w:rPr>
                <w:rFonts w:ascii="Times New Roman"/>
                <w:b w:val="false"/>
                <w:i w:val="false"/>
                <w:color w:val="000000"/>
                <w:sz w:val="20"/>
              </w:rPr>
              <w:t>
9. Одобрение проекта заинтересованными сторонами.</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Базовый сценарий</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и обоснование базового сценария.</w:t>
            </w:r>
          </w:p>
          <w:p>
            <w:pPr>
              <w:spacing w:after="20"/>
              <w:ind w:left="20"/>
              <w:jc w:val="both"/>
            </w:pPr>
            <w:r>
              <w:rPr>
                <w:rFonts w:ascii="Times New Roman"/>
                <w:b w:val="false"/>
                <w:i w:val="false"/>
                <w:color w:val="000000"/>
                <w:sz w:val="20"/>
              </w:rPr>
              <w:t>
2. Выбранные углеродные накопители.</w:t>
            </w:r>
          </w:p>
          <w:p>
            <w:pPr>
              <w:spacing w:after="20"/>
              <w:ind w:left="20"/>
              <w:jc w:val="both"/>
            </w:pPr>
            <w:r>
              <w:rPr>
                <w:rFonts w:ascii="Times New Roman"/>
                <w:b w:val="false"/>
                <w:i w:val="false"/>
                <w:color w:val="000000"/>
                <w:sz w:val="20"/>
              </w:rPr>
              <w:t>
3. Спецификация источников парниковых газов, выбросы которых будут</w:t>
            </w:r>
          </w:p>
          <w:p>
            <w:pPr>
              <w:spacing w:after="20"/>
              <w:ind w:left="20"/>
              <w:jc w:val="both"/>
            </w:pPr>
            <w:r>
              <w:rPr>
                <w:rFonts w:ascii="Times New Roman"/>
                <w:b w:val="false"/>
                <w:i w:val="false"/>
                <w:color w:val="000000"/>
                <w:sz w:val="20"/>
              </w:rPr>
              <w:t>
частью проекта, относящегося к изменению землепользования либо к</w:t>
            </w:r>
          </w:p>
          <w:p>
            <w:pPr>
              <w:spacing w:after="20"/>
              <w:ind w:left="20"/>
              <w:jc w:val="both"/>
            </w:pPr>
            <w:r>
              <w:rPr>
                <w:rFonts w:ascii="Times New Roman"/>
                <w:b w:val="false"/>
                <w:i w:val="false"/>
                <w:color w:val="000000"/>
                <w:sz w:val="20"/>
              </w:rPr>
              <w:t>
повышению лесистости.</w:t>
            </w:r>
          </w:p>
          <w:p>
            <w:pPr>
              <w:spacing w:after="20"/>
              <w:ind w:left="20"/>
              <w:jc w:val="both"/>
            </w:pPr>
            <w:r>
              <w:rPr>
                <w:rFonts w:ascii="Times New Roman"/>
                <w:b w:val="false"/>
                <w:i w:val="false"/>
                <w:color w:val="000000"/>
                <w:sz w:val="20"/>
              </w:rPr>
              <w:t>
4. Описание того, как конечная антропогенная абсорбция поглотителями</w:t>
            </w:r>
          </w:p>
          <w:p>
            <w:pPr>
              <w:spacing w:after="20"/>
              <w:ind w:left="20"/>
              <w:jc w:val="both"/>
            </w:pPr>
            <w:r>
              <w:rPr>
                <w:rFonts w:ascii="Times New Roman"/>
                <w:b w:val="false"/>
                <w:i w:val="false"/>
                <w:color w:val="000000"/>
                <w:sz w:val="20"/>
              </w:rPr>
              <w:t>
будет выше того уровня, который бы имел место при отсутствии</w:t>
            </w:r>
          </w:p>
          <w:p>
            <w:pPr>
              <w:spacing w:after="20"/>
              <w:ind w:left="20"/>
              <w:jc w:val="both"/>
            </w:pPr>
            <w:r>
              <w:rPr>
                <w:rFonts w:ascii="Times New Roman"/>
                <w:b w:val="false"/>
                <w:i w:val="false"/>
                <w:color w:val="000000"/>
                <w:sz w:val="20"/>
              </w:rPr>
              <w:t>
проекта.</w:t>
            </w:r>
          </w:p>
          <w:p>
            <w:pPr>
              <w:spacing w:after="20"/>
              <w:ind w:left="20"/>
              <w:jc w:val="both"/>
            </w:pPr>
            <w:r>
              <w:rPr>
                <w:rFonts w:ascii="Times New Roman"/>
                <w:b w:val="false"/>
                <w:i w:val="false"/>
                <w:color w:val="000000"/>
                <w:sz w:val="20"/>
              </w:rPr>
              <w:t>
5. Описание того, как определены границы деятельности применительно</w:t>
            </w:r>
          </w:p>
          <w:p>
            <w:pPr>
              <w:spacing w:after="20"/>
              <w:ind w:left="20"/>
              <w:jc w:val="both"/>
            </w:pPr>
            <w:r>
              <w:rPr>
                <w:rFonts w:ascii="Times New Roman"/>
                <w:b w:val="false"/>
                <w:i w:val="false"/>
                <w:color w:val="000000"/>
                <w:sz w:val="20"/>
              </w:rPr>
              <w:t>
к проекту.</w:t>
            </w:r>
          </w:p>
          <w:p>
            <w:pPr>
              <w:spacing w:after="20"/>
              <w:ind w:left="20"/>
              <w:jc w:val="both"/>
            </w:pPr>
            <w:r>
              <w:rPr>
                <w:rFonts w:ascii="Times New Roman"/>
                <w:b w:val="false"/>
                <w:i w:val="false"/>
                <w:color w:val="000000"/>
                <w:sz w:val="20"/>
              </w:rPr>
              <w:t>
6. Дополнительная информация по базовому сценарию, включая дату</w:t>
            </w:r>
          </w:p>
          <w:p>
            <w:pPr>
              <w:spacing w:after="20"/>
              <w:ind w:left="20"/>
              <w:jc w:val="both"/>
            </w:pPr>
            <w:r>
              <w:rPr>
                <w:rFonts w:ascii="Times New Roman"/>
                <w:b w:val="false"/>
                <w:i w:val="false"/>
                <w:color w:val="000000"/>
                <w:sz w:val="20"/>
              </w:rPr>
              <w:t>
определения и лиц, вовлеченных в его определение.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Продолжительность проекта и периода выпуска углеродных единиц</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 начала проекта.</w:t>
            </w:r>
          </w:p>
          <w:p>
            <w:pPr>
              <w:spacing w:after="20"/>
              <w:ind w:left="20"/>
              <w:jc w:val="both"/>
            </w:pPr>
            <w:r>
              <w:rPr>
                <w:rFonts w:ascii="Times New Roman"/>
                <w:b w:val="false"/>
                <w:i w:val="false"/>
                <w:color w:val="000000"/>
                <w:sz w:val="20"/>
              </w:rPr>
              <w:t>
2. Ожидаемая продолжительность проекта.</w:t>
            </w:r>
          </w:p>
          <w:p>
            <w:pPr>
              <w:spacing w:after="20"/>
              <w:ind w:left="20"/>
              <w:jc w:val="both"/>
            </w:pPr>
            <w:r>
              <w:rPr>
                <w:rFonts w:ascii="Times New Roman"/>
                <w:b w:val="false"/>
                <w:i w:val="false"/>
                <w:color w:val="000000"/>
                <w:sz w:val="20"/>
              </w:rPr>
              <w:t>
3. Продолжительность периода выпуска углеродных единиц.</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Оценка сокращения выброса парниковых газов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Оцениваемая конечная антропогенная абсорбция поглотителями по</w:t>
            </w:r>
          </w:p>
          <w:p>
            <w:pPr>
              <w:spacing w:after="20"/>
              <w:ind w:left="20"/>
              <w:jc w:val="both"/>
            </w:pPr>
            <w:r>
              <w:rPr>
                <w:rFonts w:ascii="Times New Roman"/>
                <w:b w:val="false"/>
                <w:i w:val="false"/>
                <w:color w:val="000000"/>
                <w:sz w:val="20"/>
              </w:rPr>
              <w:t>
проекту.</w:t>
            </w:r>
          </w:p>
          <w:p>
            <w:pPr>
              <w:spacing w:after="20"/>
              <w:ind w:left="20"/>
              <w:jc w:val="both"/>
            </w:pPr>
            <w:r>
              <w:rPr>
                <w:rFonts w:ascii="Times New Roman"/>
                <w:b w:val="false"/>
                <w:i w:val="false"/>
                <w:color w:val="000000"/>
                <w:sz w:val="20"/>
              </w:rPr>
              <w:t>
2. Оцениваемая конечная антропогенная абсорбция поглотителями по</w:t>
            </w:r>
          </w:p>
          <w:p>
            <w:pPr>
              <w:spacing w:after="20"/>
              <w:ind w:left="20"/>
              <w:jc w:val="both"/>
            </w:pPr>
            <w:r>
              <w:rPr>
                <w:rFonts w:ascii="Times New Roman"/>
                <w:b w:val="false"/>
                <w:i w:val="false"/>
                <w:color w:val="000000"/>
                <w:sz w:val="20"/>
              </w:rPr>
              <w:t>
базовому сценарию.</w:t>
            </w:r>
          </w:p>
          <w:p>
            <w:pPr>
              <w:spacing w:after="20"/>
              <w:ind w:left="20"/>
              <w:jc w:val="both"/>
            </w:pPr>
            <w:r>
              <w:rPr>
                <w:rFonts w:ascii="Times New Roman"/>
                <w:b w:val="false"/>
                <w:i w:val="false"/>
                <w:color w:val="000000"/>
                <w:sz w:val="20"/>
              </w:rPr>
              <w:t>
3. Разница оцениваемой конечной антропогенной абсорбции</w:t>
            </w:r>
          </w:p>
          <w:p>
            <w:pPr>
              <w:spacing w:after="20"/>
              <w:ind w:left="20"/>
              <w:jc w:val="both"/>
            </w:pPr>
            <w:r>
              <w:rPr>
                <w:rFonts w:ascii="Times New Roman"/>
                <w:b w:val="false"/>
                <w:i w:val="false"/>
                <w:color w:val="000000"/>
                <w:sz w:val="20"/>
              </w:rPr>
              <w:t>
поглотителями по проекту и по базовому сценарию.</w:t>
            </w:r>
          </w:p>
          <w:p>
            <w:pPr>
              <w:spacing w:after="20"/>
              <w:ind w:left="20"/>
              <w:jc w:val="both"/>
            </w:pPr>
            <w:r>
              <w:rPr>
                <w:rFonts w:ascii="Times New Roman"/>
                <w:b w:val="false"/>
                <w:i w:val="false"/>
                <w:color w:val="000000"/>
                <w:sz w:val="20"/>
              </w:rPr>
              <w:t>
4. Оцениваемые утечки.</w:t>
            </w:r>
          </w:p>
          <w:p>
            <w:pPr>
              <w:spacing w:after="20"/>
              <w:ind w:left="20"/>
              <w:jc w:val="both"/>
            </w:pPr>
            <w:r>
              <w:rPr>
                <w:rFonts w:ascii="Times New Roman"/>
                <w:b w:val="false"/>
                <w:i w:val="false"/>
                <w:color w:val="000000"/>
                <w:sz w:val="20"/>
              </w:rPr>
              <w:t>
5. Разница между пунктом 3 и пунктом 4, показывающая оцениваемое</w:t>
            </w:r>
          </w:p>
          <w:p>
            <w:pPr>
              <w:spacing w:after="20"/>
              <w:ind w:left="20"/>
              <w:jc w:val="both"/>
            </w:pPr>
            <w:r>
              <w:rPr>
                <w:rFonts w:ascii="Times New Roman"/>
                <w:b w:val="false"/>
                <w:i w:val="false"/>
                <w:color w:val="000000"/>
                <w:sz w:val="20"/>
              </w:rPr>
              <w:t>
повышение конечной антропогенной абсорбции поглотителями.</w:t>
            </w:r>
          </w:p>
          <w:p>
            <w:pPr>
              <w:spacing w:after="20"/>
              <w:ind w:left="20"/>
              <w:jc w:val="both"/>
            </w:pPr>
            <w:r>
              <w:rPr>
                <w:rFonts w:ascii="Times New Roman"/>
                <w:b w:val="false"/>
                <w:i w:val="false"/>
                <w:color w:val="000000"/>
                <w:sz w:val="20"/>
              </w:rPr>
              <w:t>
6. Общая таблица значений, полученных по пунктам 1 и 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Комментарии заинтересованных сторон</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комментариях заинтересованных сторон и как они были</w:t>
            </w:r>
          </w:p>
          <w:p>
            <w:pPr>
              <w:spacing w:after="20"/>
              <w:ind w:left="20"/>
              <w:jc w:val="both"/>
            </w:pPr>
            <w:r>
              <w:rPr>
                <w:rFonts w:ascii="Times New Roman"/>
                <w:b w:val="false"/>
                <w:i w:val="false"/>
                <w:color w:val="000000"/>
                <w:sz w:val="20"/>
              </w:rPr>
              <w:t>
учтены участниками проекта.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разработки внутренних проектов по</w:t>
            </w:r>
            <w:r>
              <w:br/>
            </w:r>
            <w:r>
              <w:rPr>
                <w:rFonts w:ascii="Times New Roman"/>
                <w:b w:val="false"/>
                <w:i w:val="false"/>
                <w:color w:val="000000"/>
                <w:sz w:val="20"/>
              </w:rPr>
              <w:t>сокращению выбросов парниковых газов</w:t>
            </w:r>
          </w:p>
        </w:tc>
      </w:tr>
    </w:tbl>
    <w:p>
      <w:pPr>
        <w:spacing w:after="0"/>
        <w:ind w:left="0"/>
        <w:jc w:val="both"/>
      </w:pPr>
      <w:r>
        <w:rPr>
          <w:rFonts w:ascii="Times New Roman"/>
          <w:b w:val="false"/>
          <w:i w:val="false"/>
          <w:color w:val="000000"/>
          <w:sz w:val="28"/>
        </w:rPr>
        <w:t xml:space="preserve">
      форма                  </w:t>
      </w:r>
    </w:p>
    <w:bookmarkStart w:name="z47" w:id="36"/>
    <w:p>
      <w:pPr>
        <w:spacing w:after="0"/>
        <w:ind w:left="0"/>
        <w:jc w:val="left"/>
      </w:pPr>
      <w:r>
        <w:rPr>
          <w:rFonts w:ascii="Times New Roman"/>
          <w:b/>
          <w:i w:val="false"/>
          <w:color w:val="000000"/>
        </w:rPr>
        <w:t xml:space="preserve">  План мониторинга внутреннего проекта</w:t>
      </w:r>
    </w:p>
    <w:bookmarkEnd w:id="36"/>
    <w:bookmarkStart w:name="z48" w:id="37"/>
    <w:p>
      <w:pPr>
        <w:spacing w:after="0"/>
        <w:ind w:left="0"/>
        <w:jc w:val="both"/>
      </w:pPr>
      <w:r>
        <w:rPr>
          <w:rFonts w:ascii="Times New Roman"/>
          <w:b w:val="false"/>
          <w:i w:val="false"/>
          <w:color w:val="000000"/>
          <w:sz w:val="28"/>
        </w:rPr>
        <w:t>
      1. Название проекта.</w:t>
      </w:r>
    </w:p>
    <w:bookmarkEnd w:id="37"/>
    <w:bookmarkStart w:name="z49" w:id="38"/>
    <w:p>
      <w:pPr>
        <w:spacing w:after="0"/>
        <w:ind w:left="0"/>
        <w:jc w:val="both"/>
      </w:pPr>
      <w:r>
        <w:rPr>
          <w:rFonts w:ascii="Times New Roman"/>
          <w:b w:val="false"/>
          <w:i w:val="false"/>
          <w:color w:val="000000"/>
          <w:sz w:val="28"/>
        </w:rPr>
        <w:t>
      2. Общее описание плана мониторинга.</w:t>
      </w:r>
    </w:p>
    <w:bookmarkEnd w:id="38"/>
    <w:bookmarkStart w:name="z50" w:id="39"/>
    <w:p>
      <w:pPr>
        <w:spacing w:after="0"/>
        <w:ind w:left="0"/>
        <w:jc w:val="both"/>
      </w:pPr>
      <w:r>
        <w:rPr>
          <w:rFonts w:ascii="Times New Roman"/>
          <w:b w:val="false"/>
          <w:i w:val="false"/>
          <w:color w:val="000000"/>
          <w:sz w:val="28"/>
        </w:rPr>
        <w:t>
      3. Данные, которые будут использованы для проведения</w:t>
      </w:r>
    </w:p>
    <w:bookmarkEnd w:id="39"/>
    <w:p>
      <w:pPr>
        <w:spacing w:after="0"/>
        <w:ind w:left="0"/>
        <w:jc w:val="both"/>
      </w:pPr>
      <w:r>
        <w:rPr>
          <w:rFonts w:ascii="Times New Roman"/>
          <w:b w:val="false"/>
          <w:i w:val="false"/>
          <w:color w:val="000000"/>
          <w:sz w:val="28"/>
        </w:rPr>
        <w:t>
      мониторинга (расчета) выбросов и/или поглощений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575"/>
        <w:gridCol w:w="1143"/>
        <w:gridCol w:w="1143"/>
        <w:gridCol w:w="1860"/>
        <w:gridCol w:w="1143"/>
        <w:gridCol w:w="2577"/>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по которой</w:t>
            </w:r>
          </w:p>
          <w:p>
            <w:pPr>
              <w:spacing w:after="20"/>
              <w:ind w:left="20"/>
              <w:jc w:val="both"/>
            </w:pPr>
            <w:r>
              <w:rPr>
                <w:rFonts w:ascii="Times New Roman"/>
                <w:b w:val="false"/>
                <w:i w:val="false"/>
                <w:color w:val="000000"/>
                <w:sz w:val="20"/>
              </w:rPr>
              <w:t>
проводится</w:t>
            </w:r>
          </w:p>
          <w:p>
            <w:pPr>
              <w:spacing w:after="20"/>
              <w:ind w:left="20"/>
              <w:jc w:val="both"/>
            </w:pPr>
            <w:r>
              <w:rPr>
                <w:rFonts w:ascii="Times New Roman"/>
                <w:b w:val="false"/>
                <w:i w:val="false"/>
                <w:color w:val="000000"/>
                <w:sz w:val="20"/>
              </w:rPr>
              <w:t xml:space="preserve">
мониторинг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переменных</w:t>
            </w:r>
          </w:p>
          <w:p>
            <w:pPr>
              <w:spacing w:after="20"/>
              <w:ind w:left="20"/>
              <w:jc w:val="both"/>
            </w:pPr>
            <w:r>
              <w:rPr>
                <w:rFonts w:ascii="Times New Roman"/>
                <w:b w:val="false"/>
                <w:i w:val="false"/>
                <w:color w:val="000000"/>
                <w:sz w:val="20"/>
              </w:rPr>
              <w:t>
данных по</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 по</w:t>
            </w:r>
          </w:p>
          <w:p>
            <w:pPr>
              <w:spacing w:after="20"/>
              <w:ind w:left="20"/>
              <w:jc w:val="both"/>
            </w:pPr>
            <w:r>
              <w:rPr>
                <w:rFonts w:ascii="Times New Roman"/>
                <w:b w:val="false"/>
                <w:i w:val="false"/>
                <w:color w:val="000000"/>
                <w:sz w:val="20"/>
              </w:rPr>
              <w:t>
которым</w:t>
            </w:r>
          </w:p>
          <w:p>
            <w:pPr>
              <w:spacing w:after="20"/>
              <w:ind w:left="20"/>
              <w:jc w:val="both"/>
            </w:pPr>
            <w:r>
              <w:rPr>
                <w:rFonts w:ascii="Times New Roman"/>
                <w:b w:val="false"/>
                <w:i w:val="false"/>
                <w:color w:val="000000"/>
                <w:sz w:val="20"/>
              </w:rPr>
              <w:t>
ведется</w:t>
            </w:r>
          </w:p>
          <w:p>
            <w:pPr>
              <w:spacing w:after="20"/>
              <w:ind w:left="20"/>
              <w:jc w:val="both"/>
            </w:pPr>
            <w:r>
              <w:rPr>
                <w:rFonts w:ascii="Times New Roman"/>
                <w:b w:val="false"/>
                <w:i w:val="false"/>
                <w:color w:val="000000"/>
                <w:sz w:val="20"/>
              </w:rPr>
              <w:t>
мониторинг</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данных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p>
            <w:pPr>
              <w:spacing w:after="20"/>
              <w:ind w:left="20"/>
              <w:jc w:val="both"/>
            </w:pPr>
            <w:r>
              <w:rPr>
                <w:rFonts w:ascii="Times New Roman"/>
                <w:b w:val="false"/>
                <w:i w:val="false"/>
                <w:color w:val="000000"/>
                <w:sz w:val="20"/>
              </w:rPr>
              <w:t>
данных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w:t>
            </w:r>
          </w:p>
          <w:p>
            <w:pPr>
              <w:spacing w:after="20"/>
              <w:ind w:left="20"/>
              <w:jc w:val="both"/>
            </w:pPr>
            <w:r>
              <w:rPr>
                <w:rFonts w:ascii="Times New Roman"/>
                <w:b w:val="false"/>
                <w:i w:val="false"/>
                <w:color w:val="000000"/>
                <w:sz w:val="20"/>
              </w:rPr>
              <w:t>
измеренный или</w:t>
            </w:r>
          </w:p>
          <w:p>
            <w:pPr>
              <w:spacing w:after="20"/>
              <w:ind w:left="20"/>
              <w:jc w:val="both"/>
            </w:pPr>
            <w:r>
              <w:rPr>
                <w:rFonts w:ascii="Times New Roman"/>
                <w:b w:val="false"/>
                <w:i w:val="false"/>
                <w:color w:val="000000"/>
                <w:sz w:val="20"/>
              </w:rPr>
              <w:t>
оцененный</w:t>
            </w:r>
          </w:p>
          <w:p>
            <w:pPr>
              <w:spacing w:after="20"/>
              <w:ind w:left="20"/>
              <w:jc w:val="both"/>
            </w:pPr>
            <w:r>
              <w:rPr>
                <w:rFonts w:ascii="Times New Roman"/>
                <w:b w:val="false"/>
                <w:i w:val="false"/>
                <w:color w:val="000000"/>
                <w:sz w:val="20"/>
              </w:rPr>
              <w:t>
объем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фиксации</w:t>
            </w:r>
          </w:p>
          <w:p>
            <w:pPr>
              <w:spacing w:after="20"/>
              <w:ind w:left="20"/>
              <w:jc w:val="both"/>
            </w:pPr>
            <w:r>
              <w:rPr>
                <w:rFonts w:ascii="Times New Roman"/>
                <w:b w:val="false"/>
                <w:i w:val="false"/>
                <w:color w:val="000000"/>
                <w:sz w:val="20"/>
              </w:rPr>
              <w:t>
данных</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p>
            <w:pPr>
              <w:spacing w:after="20"/>
              <w:ind w:left="20"/>
              <w:jc w:val="both"/>
            </w:pPr>
            <w:r>
              <w:rPr>
                <w:rFonts w:ascii="Times New Roman"/>
                <w:b w:val="false"/>
                <w:i w:val="false"/>
                <w:color w:val="000000"/>
                <w:sz w:val="20"/>
              </w:rPr>
              <w:t>
доли данных,</w:t>
            </w:r>
          </w:p>
          <w:p>
            <w:pPr>
              <w:spacing w:after="20"/>
              <w:ind w:left="20"/>
              <w:jc w:val="both"/>
            </w:pPr>
            <w:r>
              <w:rPr>
                <w:rFonts w:ascii="Times New Roman"/>
                <w:b w:val="false"/>
                <w:i w:val="false"/>
                <w:color w:val="000000"/>
                <w:sz w:val="20"/>
              </w:rPr>
              <w:t>
подвергаемых</w:t>
            </w:r>
          </w:p>
          <w:p>
            <w:pPr>
              <w:spacing w:after="20"/>
              <w:ind w:left="20"/>
              <w:jc w:val="both"/>
            </w:pPr>
            <w:r>
              <w:rPr>
                <w:rFonts w:ascii="Times New Roman"/>
                <w:b w:val="false"/>
                <w:i w:val="false"/>
                <w:color w:val="000000"/>
                <w:sz w:val="20"/>
              </w:rPr>
              <w:t>
мониторингу к</w:t>
            </w:r>
          </w:p>
          <w:p>
            <w:pPr>
              <w:spacing w:after="20"/>
              <w:ind w:left="20"/>
              <w:jc w:val="both"/>
            </w:pPr>
            <w:r>
              <w:rPr>
                <w:rFonts w:ascii="Times New Roman"/>
                <w:b w:val="false"/>
                <w:i w:val="false"/>
                <w:color w:val="000000"/>
                <w:sz w:val="20"/>
              </w:rPr>
              <w:t>
общему объему</w:t>
            </w:r>
          </w:p>
          <w:p>
            <w:pPr>
              <w:spacing w:after="20"/>
              <w:ind w:left="20"/>
              <w:jc w:val="both"/>
            </w:pPr>
            <w:r>
              <w:rPr>
                <w:rFonts w:ascii="Times New Roman"/>
                <w:b w:val="false"/>
                <w:i w:val="false"/>
                <w:color w:val="000000"/>
                <w:sz w:val="20"/>
              </w:rPr>
              <w:t>
соответствующих данных</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4. Описание формулы, используемой для подсчета сокращения выбросов и/или увеличения поглощений от проекта (для каждого газа, источника и т.д., выбросы в тоннах эквивалента двуокиси углерода).</w:t>
      </w:r>
    </w:p>
    <w:bookmarkEnd w:id="40"/>
    <w:bookmarkStart w:name="z52" w:id="41"/>
    <w:p>
      <w:pPr>
        <w:spacing w:after="0"/>
        <w:ind w:left="0"/>
        <w:jc w:val="both"/>
      </w:pPr>
      <w:r>
        <w:rPr>
          <w:rFonts w:ascii="Times New Roman"/>
          <w:b w:val="false"/>
          <w:i w:val="false"/>
          <w:color w:val="000000"/>
          <w:sz w:val="28"/>
        </w:rPr>
        <w:t>
      5. Данные, используемые для мониторинга (расчета) выбросов и/или поглощений по базовому сценарию</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179"/>
        <w:gridCol w:w="1190"/>
        <w:gridCol w:w="1190"/>
        <w:gridCol w:w="1935"/>
        <w:gridCol w:w="1190"/>
        <w:gridCol w:w="2681"/>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по которой</w:t>
            </w:r>
          </w:p>
          <w:p>
            <w:pPr>
              <w:spacing w:after="20"/>
              <w:ind w:left="20"/>
              <w:jc w:val="both"/>
            </w:pPr>
            <w:r>
              <w:rPr>
                <w:rFonts w:ascii="Times New Roman"/>
                <w:b w:val="false"/>
                <w:i w:val="false"/>
                <w:color w:val="000000"/>
                <w:sz w:val="20"/>
              </w:rPr>
              <w:t>
проводится</w:t>
            </w:r>
          </w:p>
          <w:p>
            <w:pPr>
              <w:spacing w:after="20"/>
              <w:ind w:left="20"/>
              <w:jc w:val="both"/>
            </w:pPr>
            <w:r>
              <w:rPr>
                <w:rFonts w:ascii="Times New Roman"/>
                <w:b w:val="false"/>
                <w:i w:val="false"/>
                <w:color w:val="000000"/>
                <w:sz w:val="20"/>
              </w:rPr>
              <w:t>
мониторинг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переменных</w:t>
            </w:r>
          </w:p>
          <w:p>
            <w:pPr>
              <w:spacing w:after="20"/>
              <w:ind w:left="20"/>
              <w:jc w:val="both"/>
            </w:pPr>
            <w:r>
              <w:rPr>
                <w:rFonts w:ascii="Times New Roman"/>
                <w:b w:val="false"/>
                <w:i w:val="false"/>
                <w:color w:val="000000"/>
                <w:sz w:val="20"/>
              </w:rPr>
              <w:t>
данных по</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по которым</w:t>
            </w:r>
          </w:p>
          <w:p>
            <w:pPr>
              <w:spacing w:after="20"/>
              <w:ind w:left="20"/>
              <w:jc w:val="both"/>
            </w:pPr>
            <w:r>
              <w:rPr>
                <w:rFonts w:ascii="Times New Roman"/>
                <w:b w:val="false"/>
                <w:i w:val="false"/>
                <w:color w:val="000000"/>
                <w:sz w:val="20"/>
              </w:rPr>
              <w:t>
ведется</w:t>
            </w:r>
          </w:p>
          <w:p>
            <w:pPr>
              <w:spacing w:after="20"/>
              <w:ind w:left="20"/>
              <w:jc w:val="both"/>
            </w:pPr>
            <w:r>
              <w:rPr>
                <w:rFonts w:ascii="Times New Roman"/>
                <w:b w:val="false"/>
                <w:i w:val="false"/>
                <w:color w:val="000000"/>
                <w:sz w:val="20"/>
              </w:rPr>
              <w:t>
мониторинг</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данных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p>
            <w:pPr>
              <w:spacing w:after="20"/>
              <w:ind w:left="20"/>
              <w:jc w:val="both"/>
            </w:pPr>
            <w:r>
              <w:rPr>
                <w:rFonts w:ascii="Times New Roman"/>
                <w:b w:val="false"/>
                <w:i w:val="false"/>
                <w:color w:val="000000"/>
                <w:sz w:val="20"/>
              </w:rPr>
              <w:t>
данных</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w:t>
            </w:r>
          </w:p>
          <w:p>
            <w:pPr>
              <w:spacing w:after="20"/>
              <w:ind w:left="20"/>
              <w:jc w:val="both"/>
            </w:pPr>
            <w:r>
              <w:rPr>
                <w:rFonts w:ascii="Times New Roman"/>
                <w:b w:val="false"/>
                <w:i w:val="false"/>
                <w:color w:val="000000"/>
                <w:sz w:val="20"/>
              </w:rPr>
              <w:t>
измеренный</w:t>
            </w:r>
          </w:p>
          <w:p>
            <w:pPr>
              <w:spacing w:after="20"/>
              <w:ind w:left="20"/>
              <w:jc w:val="both"/>
            </w:pPr>
            <w:r>
              <w:rPr>
                <w:rFonts w:ascii="Times New Roman"/>
                <w:b w:val="false"/>
                <w:i w:val="false"/>
                <w:color w:val="000000"/>
                <w:sz w:val="20"/>
              </w:rPr>
              <w:t>
или оцененный</w:t>
            </w:r>
          </w:p>
          <w:p>
            <w:pPr>
              <w:spacing w:after="20"/>
              <w:ind w:left="20"/>
              <w:jc w:val="both"/>
            </w:pPr>
            <w:r>
              <w:rPr>
                <w:rFonts w:ascii="Times New Roman"/>
                <w:b w:val="false"/>
                <w:i w:val="false"/>
                <w:color w:val="000000"/>
                <w:sz w:val="20"/>
              </w:rPr>
              <w:t>
объем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фиксации</w:t>
            </w:r>
          </w:p>
          <w:p>
            <w:pPr>
              <w:spacing w:after="20"/>
              <w:ind w:left="20"/>
              <w:jc w:val="both"/>
            </w:pPr>
            <w:r>
              <w:rPr>
                <w:rFonts w:ascii="Times New Roman"/>
                <w:b w:val="false"/>
                <w:i w:val="false"/>
                <w:color w:val="000000"/>
                <w:sz w:val="20"/>
              </w:rPr>
              <w:t>
данных</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p>
            <w:pPr>
              <w:spacing w:after="20"/>
              <w:ind w:left="20"/>
              <w:jc w:val="both"/>
            </w:pPr>
            <w:r>
              <w:rPr>
                <w:rFonts w:ascii="Times New Roman"/>
                <w:b w:val="false"/>
                <w:i w:val="false"/>
                <w:color w:val="000000"/>
                <w:sz w:val="20"/>
              </w:rPr>
              <w:t>
доли данных,</w:t>
            </w:r>
          </w:p>
          <w:p>
            <w:pPr>
              <w:spacing w:after="20"/>
              <w:ind w:left="20"/>
              <w:jc w:val="both"/>
            </w:pPr>
            <w:r>
              <w:rPr>
                <w:rFonts w:ascii="Times New Roman"/>
                <w:b w:val="false"/>
                <w:i w:val="false"/>
                <w:color w:val="000000"/>
                <w:sz w:val="20"/>
              </w:rPr>
              <w:t>
подвергаемых</w:t>
            </w:r>
          </w:p>
          <w:p>
            <w:pPr>
              <w:spacing w:after="20"/>
              <w:ind w:left="20"/>
              <w:jc w:val="both"/>
            </w:pPr>
            <w:r>
              <w:rPr>
                <w:rFonts w:ascii="Times New Roman"/>
                <w:b w:val="false"/>
                <w:i w:val="false"/>
                <w:color w:val="000000"/>
                <w:sz w:val="20"/>
              </w:rPr>
              <w:t>
мониторингу к</w:t>
            </w:r>
          </w:p>
          <w:p>
            <w:pPr>
              <w:spacing w:after="20"/>
              <w:ind w:left="20"/>
              <w:jc w:val="both"/>
            </w:pPr>
            <w:r>
              <w:rPr>
                <w:rFonts w:ascii="Times New Roman"/>
                <w:b w:val="false"/>
                <w:i w:val="false"/>
                <w:color w:val="000000"/>
                <w:sz w:val="20"/>
              </w:rPr>
              <w:t>
общему объему</w:t>
            </w:r>
          </w:p>
          <w:p>
            <w:pPr>
              <w:spacing w:after="20"/>
              <w:ind w:left="20"/>
              <w:jc w:val="both"/>
            </w:pPr>
            <w:r>
              <w:rPr>
                <w:rFonts w:ascii="Times New Roman"/>
                <w:b w:val="false"/>
                <w:i w:val="false"/>
                <w:color w:val="000000"/>
                <w:sz w:val="20"/>
              </w:rPr>
              <w:t>
соответствующих данных</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6. Описание формулы, используемой для подсчета сокращения выбросов и/или увеличения поглощений по базовому сценарию (для каждого газа, источника и т.д., выбросы в тоннах эквивалента двуокиси углерода).</w:t>
      </w:r>
    </w:p>
    <w:bookmarkEnd w:id="42"/>
    <w:bookmarkStart w:name="z54" w:id="43"/>
    <w:p>
      <w:pPr>
        <w:spacing w:after="0"/>
        <w:ind w:left="0"/>
        <w:jc w:val="both"/>
      </w:pPr>
      <w:r>
        <w:rPr>
          <w:rFonts w:ascii="Times New Roman"/>
          <w:b w:val="false"/>
          <w:i w:val="false"/>
          <w:color w:val="000000"/>
          <w:sz w:val="28"/>
        </w:rPr>
        <w:t>
      7. Оценка утечек от проекта в плане мониторинга, если применимо</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575"/>
        <w:gridCol w:w="1143"/>
        <w:gridCol w:w="1143"/>
        <w:gridCol w:w="1860"/>
        <w:gridCol w:w="1143"/>
        <w:gridCol w:w="2577"/>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деятельности</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по которой</w:t>
            </w:r>
          </w:p>
          <w:p>
            <w:pPr>
              <w:spacing w:after="20"/>
              <w:ind w:left="20"/>
              <w:jc w:val="both"/>
            </w:pPr>
            <w:r>
              <w:rPr>
                <w:rFonts w:ascii="Times New Roman"/>
                <w:b w:val="false"/>
                <w:i w:val="false"/>
                <w:color w:val="000000"/>
                <w:sz w:val="20"/>
              </w:rPr>
              <w:t>
проводится</w:t>
            </w:r>
          </w:p>
          <w:p>
            <w:pPr>
              <w:spacing w:after="20"/>
              <w:ind w:left="20"/>
              <w:jc w:val="both"/>
            </w:pPr>
            <w:r>
              <w:rPr>
                <w:rFonts w:ascii="Times New Roman"/>
                <w:b w:val="false"/>
                <w:i w:val="false"/>
                <w:color w:val="000000"/>
                <w:sz w:val="20"/>
              </w:rPr>
              <w:t>
мониторинг</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переменных</w:t>
            </w:r>
          </w:p>
          <w:p>
            <w:pPr>
              <w:spacing w:after="20"/>
              <w:ind w:left="20"/>
              <w:jc w:val="both"/>
            </w:pPr>
            <w:r>
              <w:rPr>
                <w:rFonts w:ascii="Times New Roman"/>
                <w:b w:val="false"/>
                <w:i w:val="false"/>
                <w:color w:val="000000"/>
                <w:sz w:val="20"/>
              </w:rPr>
              <w:t>
данных по</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 по</w:t>
            </w:r>
          </w:p>
          <w:p>
            <w:pPr>
              <w:spacing w:after="20"/>
              <w:ind w:left="20"/>
              <w:jc w:val="both"/>
            </w:pPr>
            <w:r>
              <w:rPr>
                <w:rFonts w:ascii="Times New Roman"/>
                <w:b w:val="false"/>
                <w:i w:val="false"/>
                <w:color w:val="000000"/>
                <w:sz w:val="20"/>
              </w:rPr>
              <w:t>
которым</w:t>
            </w:r>
          </w:p>
          <w:p>
            <w:pPr>
              <w:spacing w:after="20"/>
              <w:ind w:left="20"/>
              <w:jc w:val="both"/>
            </w:pPr>
            <w:r>
              <w:rPr>
                <w:rFonts w:ascii="Times New Roman"/>
                <w:b w:val="false"/>
                <w:i w:val="false"/>
                <w:color w:val="000000"/>
                <w:sz w:val="20"/>
              </w:rPr>
              <w:t>
ведется</w:t>
            </w:r>
          </w:p>
          <w:p>
            <w:pPr>
              <w:spacing w:after="20"/>
              <w:ind w:left="20"/>
              <w:jc w:val="both"/>
            </w:pPr>
            <w:r>
              <w:rPr>
                <w:rFonts w:ascii="Times New Roman"/>
                <w:b w:val="false"/>
                <w:i w:val="false"/>
                <w:color w:val="000000"/>
                <w:sz w:val="20"/>
              </w:rPr>
              <w:t>
мониторинг</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данных</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p>
            <w:pPr>
              <w:spacing w:after="20"/>
              <w:ind w:left="20"/>
              <w:jc w:val="both"/>
            </w:pPr>
            <w:r>
              <w:rPr>
                <w:rFonts w:ascii="Times New Roman"/>
                <w:b w:val="false"/>
                <w:i w:val="false"/>
                <w:color w:val="000000"/>
                <w:sz w:val="20"/>
              </w:rPr>
              <w:t>
данных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Подсчитанный,</w:t>
            </w:r>
          </w:p>
          <w:p>
            <w:pPr>
              <w:spacing w:after="20"/>
              <w:ind w:left="20"/>
              <w:jc w:val="both"/>
            </w:pPr>
            <w:r>
              <w:rPr>
                <w:rFonts w:ascii="Times New Roman"/>
                <w:b w:val="false"/>
                <w:i w:val="false"/>
                <w:color w:val="000000"/>
                <w:sz w:val="20"/>
              </w:rPr>
              <w:t>
измеренный</w:t>
            </w:r>
          </w:p>
          <w:p>
            <w:pPr>
              <w:spacing w:after="20"/>
              <w:ind w:left="20"/>
              <w:jc w:val="both"/>
            </w:pPr>
            <w:r>
              <w:rPr>
                <w:rFonts w:ascii="Times New Roman"/>
                <w:b w:val="false"/>
                <w:i w:val="false"/>
                <w:color w:val="000000"/>
                <w:sz w:val="20"/>
              </w:rPr>
              <w:t>
или оцененный</w:t>
            </w:r>
          </w:p>
          <w:p>
            <w:pPr>
              <w:spacing w:after="20"/>
              <w:ind w:left="20"/>
              <w:jc w:val="both"/>
            </w:pPr>
            <w:r>
              <w:rPr>
                <w:rFonts w:ascii="Times New Roman"/>
                <w:b w:val="false"/>
                <w:i w:val="false"/>
                <w:color w:val="000000"/>
                <w:sz w:val="20"/>
              </w:rPr>
              <w:t>
объем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w:t>
            </w:r>
          </w:p>
          <w:p>
            <w:pPr>
              <w:spacing w:after="20"/>
              <w:ind w:left="20"/>
              <w:jc w:val="both"/>
            </w:pPr>
            <w:r>
              <w:rPr>
                <w:rFonts w:ascii="Times New Roman"/>
                <w:b w:val="false"/>
                <w:i w:val="false"/>
                <w:color w:val="000000"/>
                <w:sz w:val="20"/>
              </w:rPr>
              <w:t>
фиксации</w:t>
            </w:r>
          </w:p>
          <w:p>
            <w:pPr>
              <w:spacing w:after="20"/>
              <w:ind w:left="20"/>
              <w:jc w:val="both"/>
            </w:pPr>
            <w:r>
              <w:rPr>
                <w:rFonts w:ascii="Times New Roman"/>
                <w:b w:val="false"/>
                <w:i w:val="false"/>
                <w:color w:val="000000"/>
                <w:sz w:val="20"/>
              </w:rPr>
              <w:t>
данных</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p>
            <w:pPr>
              <w:spacing w:after="20"/>
              <w:ind w:left="20"/>
              <w:jc w:val="both"/>
            </w:pPr>
            <w:r>
              <w:rPr>
                <w:rFonts w:ascii="Times New Roman"/>
                <w:b w:val="false"/>
                <w:i w:val="false"/>
                <w:color w:val="000000"/>
                <w:sz w:val="20"/>
              </w:rPr>
              <w:t>
доли данных,</w:t>
            </w:r>
          </w:p>
          <w:p>
            <w:pPr>
              <w:spacing w:after="20"/>
              <w:ind w:left="20"/>
              <w:jc w:val="both"/>
            </w:pPr>
            <w:r>
              <w:rPr>
                <w:rFonts w:ascii="Times New Roman"/>
                <w:b w:val="false"/>
                <w:i w:val="false"/>
                <w:color w:val="000000"/>
                <w:sz w:val="20"/>
              </w:rPr>
              <w:t>
подвергаемых</w:t>
            </w:r>
          </w:p>
          <w:p>
            <w:pPr>
              <w:spacing w:after="20"/>
              <w:ind w:left="20"/>
              <w:jc w:val="both"/>
            </w:pPr>
            <w:r>
              <w:rPr>
                <w:rFonts w:ascii="Times New Roman"/>
                <w:b w:val="false"/>
                <w:i w:val="false"/>
                <w:color w:val="000000"/>
                <w:sz w:val="20"/>
              </w:rPr>
              <w:t>
мониторингу к</w:t>
            </w:r>
          </w:p>
          <w:p>
            <w:pPr>
              <w:spacing w:after="20"/>
              <w:ind w:left="20"/>
              <w:jc w:val="both"/>
            </w:pPr>
            <w:r>
              <w:rPr>
                <w:rFonts w:ascii="Times New Roman"/>
                <w:b w:val="false"/>
                <w:i w:val="false"/>
                <w:color w:val="000000"/>
                <w:sz w:val="20"/>
              </w:rPr>
              <w:t>
общему объему</w:t>
            </w:r>
          </w:p>
          <w:p>
            <w:pPr>
              <w:spacing w:after="20"/>
              <w:ind w:left="20"/>
              <w:jc w:val="both"/>
            </w:pPr>
            <w:r>
              <w:rPr>
                <w:rFonts w:ascii="Times New Roman"/>
                <w:b w:val="false"/>
                <w:i w:val="false"/>
                <w:color w:val="000000"/>
                <w:sz w:val="20"/>
              </w:rPr>
              <w:t>
соответствующих</w:t>
            </w:r>
          </w:p>
          <w:p>
            <w:pPr>
              <w:spacing w:after="20"/>
              <w:ind w:left="20"/>
              <w:jc w:val="both"/>
            </w:pPr>
            <w:r>
              <w:rPr>
                <w:rFonts w:ascii="Times New Roman"/>
                <w:b w:val="false"/>
                <w:i w:val="false"/>
                <w:color w:val="000000"/>
                <w:sz w:val="20"/>
              </w:rPr>
              <w:t>
данных</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8. Описание формулы, используемой для подсчета утечек (для каждого газа, источника и т.д., выбросы в тоннах эквивалента двуокиси углерода).</w:t>
      </w:r>
    </w:p>
    <w:bookmarkEnd w:id="44"/>
    <w:bookmarkStart w:name="z56" w:id="45"/>
    <w:p>
      <w:pPr>
        <w:spacing w:after="0"/>
        <w:ind w:left="0"/>
        <w:jc w:val="both"/>
      </w:pPr>
      <w:r>
        <w:rPr>
          <w:rFonts w:ascii="Times New Roman"/>
          <w:b w:val="false"/>
          <w:i w:val="false"/>
          <w:color w:val="000000"/>
          <w:sz w:val="28"/>
        </w:rPr>
        <w:t>
      9. Описание формулы, используемой для оценки сокращения выбросов от проекта (для каждого газа, источника и т.д.; сокращение выбросов в эквиваленте тонны CO</w:t>
      </w:r>
      <w:r>
        <w:rPr>
          <w:rFonts w:ascii="Times New Roman"/>
          <w:b w:val="false"/>
          <w:i w:val="false"/>
          <w:color w:val="000000"/>
          <w:vertAlign w:val="subscript"/>
        </w:rPr>
        <w:t>2</w:t>
      </w:r>
      <w:r>
        <w:rPr>
          <w:rFonts w:ascii="Times New Roman"/>
          <w:b w:val="false"/>
          <w:i w:val="false"/>
          <w:color w:val="000000"/>
          <w:sz w:val="28"/>
        </w:rPr>
        <w:t>).</w:t>
      </w:r>
    </w:p>
    <w:bookmarkEnd w:id="45"/>
    <w:bookmarkStart w:name="z57" w:id="46"/>
    <w:p>
      <w:pPr>
        <w:spacing w:after="0"/>
        <w:ind w:left="0"/>
        <w:jc w:val="both"/>
      </w:pPr>
      <w:r>
        <w:rPr>
          <w:rFonts w:ascii="Times New Roman"/>
          <w:b w:val="false"/>
          <w:i w:val="false"/>
          <w:color w:val="000000"/>
          <w:sz w:val="28"/>
        </w:rPr>
        <w:t>
      10. Описание процедур контроля качества и обеспечения качества, принятых для плана мониторинга.</w:t>
      </w:r>
    </w:p>
    <w:bookmarkEnd w:id="46"/>
    <w:bookmarkStart w:name="z58" w:id="47"/>
    <w:p>
      <w:pPr>
        <w:spacing w:after="0"/>
        <w:ind w:left="0"/>
        <w:jc w:val="both"/>
      </w:pPr>
      <w:r>
        <w:rPr>
          <w:rFonts w:ascii="Times New Roman"/>
          <w:b w:val="false"/>
          <w:i w:val="false"/>
          <w:color w:val="000000"/>
          <w:sz w:val="28"/>
        </w:rPr>
        <w:t>
      11. Описание системы управления и деятельности, которая используется при внедрении плана мониторинга.</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2012  года № 156-ө</w:t>
            </w:r>
          </w:p>
        </w:tc>
      </w:tr>
    </w:tbl>
    <w:bookmarkStart w:name="z60" w:id="48"/>
    <w:p>
      <w:pPr>
        <w:spacing w:after="0"/>
        <w:ind w:left="0"/>
        <w:jc w:val="left"/>
      </w:pPr>
      <w:r>
        <w:rPr>
          <w:rFonts w:ascii="Times New Roman"/>
          <w:b/>
          <w:i w:val="false"/>
          <w:color w:val="000000"/>
        </w:rPr>
        <w:t xml:space="preserve">  Перечень отраслей и секторов экономики,</w:t>
      </w:r>
      <w:r>
        <w:br/>
      </w:r>
      <w:r>
        <w:rPr>
          <w:rFonts w:ascii="Times New Roman"/>
          <w:b/>
          <w:i w:val="false"/>
          <w:color w:val="000000"/>
        </w:rPr>
        <w:t>в которых могут осуществляться внутренние проекты</w:t>
      </w:r>
    </w:p>
    <w:bookmarkEnd w:id="48"/>
    <w:bookmarkStart w:name="z61" w:id="49"/>
    <w:p>
      <w:pPr>
        <w:spacing w:after="0"/>
        <w:ind w:left="0"/>
        <w:jc w:val="both"/>
      </w:pPr>
      <w:r>
        <w:rPr>
          <w:rFonts w:ascii="Times New Roman"/>
          <w:b w:val="false"/>
          <w:i w:val="false"/>
          <w:color w:val="000000"/>
          <w:sz w:val="28"/>
        </w:rPr>
        <w:t>
      1. Отрасли экономики:</w:t>
      </w:r>
    </w:p>
    <w:bookmarkEnd w:id="49"/>
    <w:p>
      <w:pPr>
        <w:spacing w:after="0"/>
        <w:ind w:left="0"/>
        <w:jc w:val="both"/>
      </w:pPr>
      <w:r>
        <w:rPr>
          <w:rFonts w:ascii="Times New Roman"/>
          <w:b w:val="false"/>
          <w:i w:val="false"/>
          <w:color w:val="000000"/>
          <w:sz w:val="28"/>
        </w:rPr>
        <w:t>
      1) горнодобывающая и металлургическая (в части проектов утилизации шахтного метана);</w:t>
      </w:r>
    </w:p>
    <w:p>
      <w:pPr>
        <w:spacing w:after="0"/>
        <w:ind w:left="0"/>
        <w:jc w:val="both"/>
      </w:pPr>
      <w:r>
        <w:rPr>
          <w:rFonts w:ascii="Times New Roman"/>
          <w:b w:val="false"/>
          <w:i w:val="false"/>
          <w:color w:val="000000"/>
          <w:sz w:val="28"/>
        </w:rPr>
        <w:t>
      2) сельское хозяйство;</w:t>
      </w:r>
    </w:p>
    <w:p>
      <w:pPr>
        <w:spacing w:after="0"/>
        <w:ind w:left="0"/>
        <w:jc w:val="both"/>
      </w:pPr>
      <w:r>
        <w:rPr>
          <w:rFonts w:ascii="Times New Roman"/>
          <w:b w:val="false"/>
          <w:i w:val="false"/>
          <w:color w:val="000000"/>
          <w:sz w:val="28"/>
        </w:rPr>
        <w:t>
      3) жилищно-коммунальное хозяйство;</w:t>
      </w:r>
    </w:p>
    <w:p>
      <w:pPr>
        <w:spacing w:after="0"/>
        <w:ind w:left="0"/>
        <w:jc w:val="both"/>
      </w:pPr>
      <w:r>
        <w:rPr>
          <w:rFonts w:ascii="Times New Roman"/>
          <w:b w:val="false"/>
          <w:i w:val="false"/>
          <w:color w:val="000000"/>
          <w:sz w:val="28"/>
        </w:rPr>
        <w:t>
      4) озеленение лесных и степных территорий;</w:t>
      </w:r>
    </w:p>
    <w:p>
      <w:pPr>
        <w:spacing w:after="0"/>
        <w:ind w:left="0"/>
        <w:jc w:val="both"/>
      </w:pPr>
      <w:r>
        <w:rPr>
          <w:rFonts w:ascii="Times New Roman"/>
          <w:b w:val="false"/>
          <w:i w:val="false"/>
          <w:color w:val="000000"/>
          <w:sz w:val="28"/>
        </w:rPr>
        <w:t>
      5) предотвращение деградации земель;</w:t>
      </w:r>
    </w:p>
    <w:p>
      <w:pPr>
        <w:spacing w:after="0"/>
        <w:ind w:left="0"/>
        <w:jc w:val="both"/>
      </w:pPr>
      <w:r>
        <w:rPr>
          <w:rFonts w:ascii="Times New Roman"/>
          <w:b w:val="false"/>
          <w:i w:val="false"/>
          <w:color w:val="000000"/>
          <w:sz w:val="28"/>
        </w:rPr>
        <w:t>
      6) возобновляемые источники энергии;</w:t>
      </w:r>
    </w:p>
    <w:p>
      <w:pPr>
        <w:spacing w:after="0"/>
        <w:ind w:left="0"/>
        <w:jc w:val="both"/>
      </w:pPr>
      <w:r>
        <w:rPr>
          <w:rFonts w:ascii="Times New Roman"/>
          <w:b w:val="false"/>
          <w:i w:val="false"/>
          <w:color w:val="000000"/>
          <w:sz w:val="28"/>
        </w:rPr>
        <w:t>
      7) переработка коммунальных и промышленных отходов;</w:t>
      </w:r>
    </w:p>
    <w:p>
      <w:pPr>
        <w:spacing w:after="0"/>
        <w:ind w:left="0"/>
        <w:jc w:val="both"/>
      </w:pPr>
      <w:r>
        <w:rPr>
          <w:rFonts w:ascii="Times New Roman"/>
          <w:b w:val="false"/>
          <w:i w:val="false"/>
          <w:color w:val="000000"/>
          <w:sz w:val="28"/>
        </w:rPr>
        <w:t>
      8) транспорт;</w:t>
      </w:r>
    </w:p>
    <w:p>
      <w:pPr>
        <w:spacing w:after="0"/>
        <w:ind w:left="0"/>
        <w:jc w:val="both"/>
      </w:pPr>
      <w:r>
        <w:rPr>
          <w:rFonts w:ascii="Times New Roman"/>
          <w:b w:val="false"/>
          <w:i w:val="false"/>
          <w:color w:val="000000"/>
          <w:sz w:val="28"/>
        </w:rPr>
        <w:t>
      9) энергоэффективное строительство;</w:t>
      </w:r>
    </w:p>
    <w:p>
      <w:pPr>
        <w:spacing w:after="0"/>
        <w:ind w:left="0"/>
        <w:jc w:val="both"/>
      </w:pPr>
      <w:r>
        <w:rPr>
          <w:rFonts w:ascii="Times New Roman"/>
          <w:b w:val="false"/>
          <w:i w:val="false"/>
          <w:color w:val="000000"/>
          <w:sz w:val="28"/>
        </w:rPr>
        <w:t>
      10) энергосбережение и повышение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энергетики РК от 17.11.2016 </w:t>
      </w:r>
      <w:r>
        <w:rPr>
          <w:rFonts w:ascii="Times New Roman"/>
          <w:b w:val="false"/>
          <w:i w:val="false"/>
          <w:color w:val="000000"/>
          <w:sz w:val="28"/>
        </w:rPr>
        <w:t>№ 496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2. Сектора экономики:</w:t>
      </w:r>
    </w:p>
    <w:bookmarkEnd w:id="50"/>
    <w:p>
      <w:pPr>
        <w:spacing w:after="0"/>
        <w:ind w:left="0"/>
        <w:jc w:val="both"/>
      </w:pPr>
      <w:r>
        <w:rPr>
          <w:rFonts w:ascii="Times New Roman"/>
          <w:b w:val="false"/>
          <w:i w:val="false"/>
          <w:color w:val="000000"/>
          <w:sz w:val="28"/>
        </w:rPr>
        <w:t>
      1) нефинансовые корпорации;</w:t>
      </w:r>
    </w:p>
    <w:p>
      <w:pPr>
        <w:spacing w:after="0"/>
        <w:ind w:left="0"/>
        <w:jc w:val="both"/>
      </w:pPr>
      <w:r>
        <w:rPr>
          <w:rFonts w:ascii="Times New Roman"/>
          <w:b w:val="false"/>
          <w:i w:val="false"/>
          <w:color w:val="000000"/>
          <w:sz w:val="28"/>
        </w:rPr>
        <w:t>
      2) органы государственного управления;</w:t>
      </w:r>
    </w:p>
    <w:p>
      <w:pPr>
        <w:spacing w:after="0"/>
        <w:ind w:left="0"/>
        <w:jc w:val="both"/>
      </w:pPr>
      <w:r>
        <w:rPr>
          <w:rFonts w:ascii="Times New Roman"/>
          <w:b w:val="false"/>
          <w:i w:val="false"/>
          <w:color w:val="000000"/>
          <w:sz w:val="28"/>
        </w:rPr>
        <w:t>
      3) некоммерческие организации, обслуживающие домашние</w:t>
      </w:r>
    </w:p>
    <w:p>
      <w:pPr>
        <w:spacing w:after="0"/>
        <w:ind w:left="0"/>
        <w:jc w:val="both"/>
      </w:pPr>
      <w:r>
        <w:rPr>
          <w:rFonts w:ascii="Times New Roman"/>
          <w:b w:val="false"/>
          <w:i w:val="false"/>
          <w:color w:val="000000"/>
          <w:sz w:val="28"/>
        </w:rPr>
        <w:t>
      хозяйства.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