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73f9" w14:textId="d717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мерах по поддержанию крупным участником накопительного пенсионного фонда и (или) организации, осуществляющей инвестиционное управление пенсионными активами, коэффициентов достаточности собственного капитала накопительного пенсионного фонда и (или) организации, осуществляющей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апреля 2012 года № 170. Зарегистрировано в Министерстве юстиции Республики Казахстан 8 июня 2012 года № 7721. Утратило силу постановлением Правления Национального Банка Республики Казахстан от 8 августа 2016 года № 183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08.08.2016 </w:t>
      </w:r>
      <w:r>
        <w:rPr>
          <w:rFonts w:ascii="Times New Roman"/>
          <w:b w:val="false"/>
          <w:i w:val="false"/>
          <w:color w:val="ff0000"/>
          <w:sz w:val="28"/>
        </w:rPr>
        <w:t>№ 183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о мерах по поддержанию крупным участником накопительного пенсионного фонда и (или) организации, осуществляющей инвестиционное управление пенсионными активами, коэффициентов достаточности собственного капитала накопительного пенсионного фонда и (или) организации, осуществляющей инвестиционное управление пенсионными активами (далее - Инструкция).</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bookmarkStart w:name="z5" w:id="4"/>
    <w:p>
      <w:pPr>
        <w:spacing w:after="0"/>
        <w:ind w:left="0"/>
        <w:jc w:val="both"/>
      </w:pPr>
      <w:r>
        <w:rPr>
          <w:rFonts w:ascii="Times New Roman"/>
          <w:b w:val="false"/>
          <w:i w:val="false"/>
          <w:color w:val="000000"/>
          <w:sz w:val="28"/>
        </w:rPr>
        <w:t>
      4. Организациям, осуществляющим инвестиционное управление пенсионными активами, в течение двух месяцев со дня введения в действие настоящего постановления привести свою деятельность в соответствие с требованиями Инструкции.</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2012 года № 170</w:t>
            </w:r>
          </w:p>
        </w:tc>
      </w:tr>
    </w:tbl>
    <w:bookmarkStart w:name="z7" w:id="5"/>
    <w:p>
      <w:pPr>
        <w:spacing w:after="0"/>
        <w:ind w:left="0"/>
        <w:jc w:val="left"/>
      </w:pPr>
      <w:r>
        <w:rPr>
          <w:rFonts w:ascii="Times New Roman"/>
          <w:b/>
          <w:i w:val="false"/>
          <w:color w:val="000000"/>
        </w:rPr>
        <w:t xml:space="preserve"> Инструкция</w:t>
      </w:r>
      <w:r>
        <w:br/>
      </w:r>
      <w:r>
        <w:rPr>
          <w:rFonts w:ascii="Times New Roman"/>
          <w:b/>
          <w:i w:val="false"/>
          <w:color w:val="000000"/>
        </w:rPr>
        <w:t>о мерах по поддержанию крупным участником накопительного</w:t>
      </w:r>
      <w:r>
        <w:br/>
      </w:r>
      <w:r>
        <w:rPr>
          <w:rFonts w:ascii="Times New Roman"/>
          <w:b/>
          <w:i w:val="false"/>
          <w:color w:val="000000"/>
        </w:rPr>
        <w:t>пенсионного фонда и (или) организации, осуществляющей</w:t>
      </w:r>
      <w:r>
        <w:br/>
      </w:r>
      <w:r>
        <w:rPr>
          <w:rFonts w:ascii="Times New Roman"/>
          <w:b/>
          <w:i w:val="false"/>
          <w:color w:val="000000"/>
        </w:rPr>
        <w:t>инвестиционное управление пенсионными активами, коэффициентов</w:t>
      </w:r>
      <w:r>
        <w:br/>
      </w:r>
      <w:r>
        <w:rPr>
          <w:rFonts w:ascii="Times New Roman"/>
          <w:b/>
          <w:i w:val="false"/>
          <w:color w:val="000000"/>
        </w:rPr>
        <w:t>достаточности собственного капитала накопительного пенсионного</w:t>
      </w:r>
      <w:r>
        <w:br/>
      </w:r>
      <w:r>
        <w:rPr>
          <w:rFonts w:ascii="Times New Roman"/>
          <w:b/>
          <w:i w:val="false"/>
          <w:color w:val="000000"/>
        </w:rPr>
        <w:t>фонда и (или) организации, осуществляющей инвестиционное</w:t>
      </w:r>
      <w:r>
        <w:br/>
      </w:r>
      <w:r>
        <w:rPr>
          <w:rFonts w:ascii="Times New Roman"/>
          <w:b/>
          <w:i w:val="false"/>
          <w:color w:val="000000"/>
        </w:rPr>
        <w:t>управление пенсионными активами</w:t>
      </w:r>
    </w:p>
    <w:bookmarkEnd w:id="5"/>
    <w:bookmarkStart w:name="z8" w:id="6"/>
    <w:p>
      <w:pPr>
        <w:spacing w:after="0"/>
        <w:ind w:left="0"/>
        <w:jc w:val="both"/>
      </w:pPr>
      <w:r>
        <w:rPr>
          <w:rFonts w:ascii="Times New Roman"/>
          <w:b w:val="false"/>
          <w:i w:val="false"/>
          <w:color w:val="000000"/>
          <w:sz w:val="28"/>
        </w:rPr>
        <w:t xml:space="preserve">
      1. Настоящая Инструкция о мерах по поддержанию крупным участником накопительного пенсионного фонда и (или) организации, осуществляющей инвестиционное управление пенсионными активами, коэффициентов достаточности собственного капитала накопительного пенсионного фонда и (или) организации, осуществляющей инвестиционное управление пенсионными активами,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w:t>
      </w:r>
    </w:p>
    <w:bookmarkEnd w:id="6"/>
    <w:p>
      <w:pPr>
        <w:spacing w:after="0"/>
        <w:ind w:left="0"/>
        <w:jc w:val="both"/>
      </w:pPr>
      <w:r>
        <w:rPr>
          <w:rFonts w:ascii="Times New Roman"/>
          <w:b w:val="false"/>
          <w:i w:val="false"/>
          <w:color w:val="000000"/>
          <w:sz w:val="28"/>
        </w:rPr>
        <w:t>
      "О пенсионном обеспечении в Республике Казахстан" (далее – Закон), и устанавливает меры по поддержанию коэффициентов достаточности собственного капитала накопительного пенсионного фонда (далее - Фонд) и (или) организации, осуществляющей инвестиционное управление пенсионными активами, (далее - Организация) крупным участником Фонда и (или) Организации.</w:t>
      </w:r>
    </w:p>
    <w:bookmarkStart w:name="z9" w:id="7"/>
    <w:p>
      <w:pPr>
        <w:spacing w:after="0"/>
        <w:ind w:left="0"/>
        <w:jc w:val="both"/>
      </w:pPr>
      <w:r>
        <w:rPr>
          <w:rFonts w:ascii="Times New Roman"/>
          <w:b w:val="false"/>
          <w:i w:val="false"/>
          <w:color w:val="000000"/>
          <w:sz w:val="28"/>
        </w:rPr>
        <w:t xml:space="preserve">
      2. Крупный участник Фонда и (или) Организации (далее - крупный участник) принимает меры, предусмотренные Инструкцией, по поддержанию достаточности собственного капитала Фонда и (или) Организации на уровне, установленном постановлениями Правления Агентства Республики Казахстан по регулированию и надзору финансового рынка и финансовых организаций от 5 августа 2009 года </w:t>
      </w:r>
      <w:r>
        <w:rPr>
          <w:rFonts w:ascii="Times New Roman"/>
          <w:b w:val="false"/>
          <w:i w:val="false"/>
          <w:color w:val="000000"/>
          <w:sz w:val="28"/>
        </w:rPr>
        <w:t>№ 180</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накопительных пенсионных фондов" (зарегистрировано в Реестре государственной регистрации нормативных правовых актов под № 5789) (далее - постановление № 180), от 5 августа 2009 года </w:t>
      </w:r>
      <w:r>
        <w:rPr>
          <w:rFonts w:ascii="Times New Roman"/>
          <w:b w:val="false"/>
          <w:i w:val="false"/>
          <w:color w:val="000000"/>
          <w:sz w:val="28"/>
        </w:rPr>
        <w:t>№ 181</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(зарегистрировано в Реестре государственной регистрации нормативных правовых актов под № 5793) (далее - постановление № 181), от 26 сентября 2009 года </w:t>
      </w:r>
      <w:r>
        <w:rPr>
          <w:rFonts w:ascii="Times New Roman"/>
          <w:b w:val="false"/>
          <w:i w:val="false"/>
          <w:color w:val="000000"/>
          <w:sz w:val="28"/>
        </w:rPr>
        <w:t>№ 215</w:t>
      </w:r>
      <w:r>
        <w:rPr>
          <w:rFonts w:ascii="Times New Roman"/>
          <w:b w:val="false"/>
          <w:i w:val="false"/>
          <w:color w:val="000000"/>
          <w:sz w:val="28"/>
        </w:rPr>
        <w:t xml:space="preserve">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(зарегистрировано в Реестре государственной регистрации нормативных правовых актов под № 5810) (далее - постановление № 215).</w:t>
      </w:r>
    </w:p>
    <w:bookmarkEnd w:id="7"/>
    <w:bookmarkStart w:name="z10" w:id="8"/>
    <w:p>
      <w:pPr>
        <w:spacing w:after="0"/>
        <w:ind w:left="0"/>
        <w:jc w:val="both"/>
      </w:pPr>
      <w:r>
        <w:rPr>
          <w:rFonts w:ascii="Times New Roman"/>
          <w:b w:val="false"/>
          <w:i w:val="false"/>
          <w:color w:val="000000"/>
          <w:sz w:val="28"/>
        </w:rPr>
        <w:t>
      3. Меры по поддержанию крупными участниками коэффициентов достаточности собственного капитала Фонда и (или) Организации, определенные Инструкцией, включают в себя:</w:t>
      </w:r>
    </w:p>
    <w:bookmarkEnd w:id="8"/>
    <w:bookmarkStart w:name="z11" w:id="9"/>
    <w:p>
      <w:pPr>
        <w:spacing w:after="0"/>
        <w:ind w:left="0"/>
        <w:jc w:val="both"/>
      </w:pPr>
      <w:r>
        <w:rPr>
          <w:rFonts w:ascii="Times New Roman"/>
          <w:b w:val="false"/>
          <w:i w:val="false"/>
          <w:color w:val="000000"/>
          <w:sz w:val="28"/>
        </w:rPr>
        <w:t>
      1) разработку и утверждение внутренних документов крупным участником, являющимся юридическим лицом, устанавливающих обязательные для соблюдения крупными участниками Фонда и (или) Организации условия и порядок применения мер по поддержанию коэффициентов достаточности собственного капитала Фонда и (или) Организации;</w:t>
      </w:r>
    </w:p>
    <w:bookmarkEnd w:id="9"/>
    <w:bookmarkStart w:name="z12" w:id="10"/>
    <w:p>
      <w:pPr>
        <w:spacing w:after="0"/>
        <w:ind w:left="0"/>
        <w:jc w:val="both"/>
      </w:pPr>
      <w:r>
        <w:rPr>
          <w:rFonts w:ascii="Times New Roman"/>
          <w:b w:val="false"/>
          <w:i w:val="false"/>
          <w:color w:val="000000"/>
          <w:sz w:val="28"/>
        </w:rPr>
        <w:t>
      2) постоянное обеспечение необходимого уровня (значения) коэффициента достаточности собственного капитала Фонда и (или) Организации;</w:t>
      </w:r>
    </w:p>
    <w:bookmarkEnd w:id="10"/>
    <w:bookmarkStart w:name="z13" w:id="11"/>
    <w:p>
      <w:pPr>
        <w:spacing w:after="0"/>
        <w:ind w:left="0"/>
        <w:jc w:val="both"/>
      </w:pPr>
      <w:r>
        <w:rPr>
          <w:rFonts w:ascii="Times New Roman"/>
          <w:b w:val="false"/>
          <w:i w:val="false"/>
          <w:color w:val="000000"/>
          <w:sz w:val="28"/>
        </w:rPr>
        <w:t>
      3) оперативное обеспечение необходимого уровня (значения) коэффициента достаточности собственного капитала Фонда и (или) Организации.</w:t>
      </w:r>
    </w:p>
    <w:bookmarkEnd w:id="11"/>
    <w:bookmarkStart w:name="z14" w:id="12"/>
    <w:p>
      <w:pPr>
        <w:spacing w:after="0"/>
        <w:ind w:left="0"/>
        <w:jc w:val="both"/>
      </w:pPr>
      <w:r>
        <w:rPr>
          <w:rFonts w:ascii="Times New Roman"/>
          <w:b w:val="false"/>
          <w:i w:val="false"/>
          <w:color w:val="000000"/>
          <w:sz w:val="28"/>
        </w:rPr>
        <w:t>
      4. Меры постоянного обеспечения необходимого значения коэффициента достаточности собственного капитала Фонда и (или) Организации включают следующее:</w:t>
      </w:r>
    </w:p>
    <w:bookmarkEnd w:id="12"/>
    <w:bookmarkStart w:name="z15" w:id="13"/>
    <w:p>
      <w:pPr>
        <w:spacing w:after="0"/>
        <w:ind w:left="0"/>
        <w:jc w:val="both"/>
      </w:pPr>
      <w:r>
        <w:rPr>
          <w:rFonts w:ascii="Times New Roman"/>
          <w:b w:val="false"/>
          <w:i w:val="false"/>
          <w:color w:val="000000"/>
          <w:sz w:val="28"/>
        </w:rPr>
        <w:t xml:space="preserve">
      1) ежеквартальную оценку финансового состояния Фонда и (или) Организации на основе анализа ежеквартальной финансовой отчетности Фонда и (или) Организации, с целью проверки соблюдения пруденциальных нормативов Фонда и (или) Организации, установленных постановлением </w:t>
      </w:r>
      <w:r>
        <w:rPr>
          <w:rFonts w:ascii="Times New Roman"/>
          <w:b w:val="false"/>
          <w:i w:val="false"/>
          <w:color w:val="000000"/>
          <w:sz w:val="28"/>
        </w:rPr>
        <w:t>№ 180</w:t>
      </w:r>
      <w:r>
        <w:rPr>
          <w:rFonts w:ascii="Times New Roman"/>
          <w:b w:val="false"/>
          <w:i w:val="false"/>
          <w:color w:val="000000"/>
          <w:sz w:val="28"/>
        </w:rPr>
        <w:t xml:space="preserve">, постановлением </w:t>
      </w:r>
      <w:r>
        <w:rPr>
          <w:rFonts w:ascii="Times New Roman"/>
          <w:b w:val="false"/>
          <w:i w:val="false"/>
          <w:color w:val="000000"/>
          <w:sz w:val="28"/>
        </w:rPr>
        <w:t>№ 181</w:t>
      </w:r>
      <w:r>
        <w:rPr>
          <w:rFonts w:ascii="Times New Roman"/>
          <w:b w:val="false"/>
          <w:i w:val="false"/>
          <w:color w:val="000000"/>
          <w:sz w:val="28"/>
        </w:rPr>
        <w:t xml:space="preserve">, постановлением </w:t>
      </w:r>
      <w:r>
        <w:rPr>
          <w:rFonts w:ascii="Times New Roman"/>
          <w:b w:val="false"/>
          <w:i w:val="false"/>
          <w:color w:val="000000"/>
          <w:sz w:val="28"/>
        </w:rPr>
        <w:t>№ 215</w:t>
      </w:r>
      <w:r>
        <w:rPr>
          <w:rFonts w:ascii="Times New Roman"/>
          <w:b w:val="false"/>
          <w:i w:val="false"/>
          <w:color w:val="000000"/>
          <w:sz w:val="28"/>
        </w:rPr>
        <w:t>, а также оценку рисков, влияющих на снижение коэффициента достаточности собственного капитала Фонда и (или) Организации;</w:t>
      </w:r>
    </w:p>
    <w:bookmarkEnd w:id="13"/>
    <w:bookmarkStart w:name="z16" w:id="14"/>
    <w:p>
      <w:pPr>
        <w:spacing w:after="0"/>
        <w:ind w:left="0"/>
        <w:jc w:val="both"/>
      </w:pPr>
      <w:r>
        <w:rPr>
          <w:rFonts w:ascii="Times New Roman"/>
          <w:b w:val="false"/>
          <w:i w:val="false"/>
          <w:color w:val="000000"/>
          <w:sz w:val="28"/>
        </w:rPr>
        <w:t>
      2) ежеквартальную оценку прогнозных значений достаточности собственного капитала Фонда и (или) Организации;</w:t>
      </w:r>
    </w:p>
    <w:bookmarkEnd w:id="14"/>
    <w:bookmarkStart w:name="z17" w:id="15"/>
    <w:p>
      <w:pPr>
        <w:spacing w:after="0"/>
        <w:ind w:left="0"/>
        <w:jc w:val="both"/>
      </w:pPr>
      <w:r>
        <w:rPr>
          <w:rFonts w:ascii="Times New Roman"/>
          <w:b w:val="false"/>
          <w:i w:val="false"/>
          <w:color w:val="000000"/>
          <w:sz w:val="28"/>
        </w:rPr>
        <w:t xml:space="preserve">
      3) ежегодный контроль за обеспечением эффективности функционирования системы управления рисками в Фонде и (или) Организации, в том числе оценок соответствия указанных систем требованиям, установленным </w:t>
      </w:r>
      <w:r>
        <w:rPr>
          <w:rFonts w:ascii="Times New Roman"/>
          <w:b w:val="false"/>
          <w:i w:val="false"/>
          <w:color w:val="000000"/>
          <w:sz w:val="28"/>
        </w:rPr>
        <w:t>статьей 40-1</w:t>
      </w:r>
      <w:r>
        <w:rPr>
          <w:rFonts w:ascii="Times New Roman"/>
          <w:b w:val="false"/>
          <w:i w:val="false"/>
          <w:color w:val="000000"/>
          <w:sz w:val="28"/>
        </w:rPr>
        <w:t xml:space="preserve"> Закона;</w:t>
      </w:r>
    </w:p>
    <w:bookmarkEnd w:id="15"/>
    <w:bookmarkStart w:name="z18" w:id="16"/>
    <w:p>
      <w:pPr>
        <w:spacing w:after="0"/>
        <w:ind w:left="0"/>
        <w:jc w:val="both"/>
      </w:pPr>
      <w:r>
        <w:rPr>
          <w:rFonts w:ascii="Times New Roman"/>
          <w:b w:val="false"/>
          <w:i w:val="false"/>
          <w:color w:val="000000"/>
          <w:sz w:val="28"/>
        </w:rPr>
        <w:t>
      4) ежегодный контроль наличия в Фонде и (или) Организации, имеющих крупных участников, процедур, определяющих меры оперативного обеспечения, предусмотренные в пункте 6 Инструкции;</w:t>
      </w:r>
    </w:p>
    <w:bookmarkEnd w:id="16"/>
    <w:bookmarkStart w:name="z19" w:id="17"/>
    <w:p>
      <w:pPr>
        <w:spacing w:after="0"/>
        <w:ind w:left="0"/>
        <w:jc w:val="both"/>
      </w:pPr>
      <w:r>
        <w:rPr>
          <w:rFonts w:ascii="Times New Roman"/>
          <w:b w:val="false"/>
          <w:i w:val="false"/>
          <w:color w:val="000000"/>
          <w:sz w:val="28"/>
        </w:rPr>
        <w:t>
      5) ежеквартальный контроль соблюдения Фондом и (или) Организацией, имеющих крупных участников, инвестиционной декларации Фонда при инвестировании пенсионных активов и политики инвестирования собственных активов Фонда и (или) Организации при инвестировании собственных активов;</w:t>
      </w:r>
    </w:p>
    <w:bookmarkEnd w:id="17"/>
    <w:bookmarkStart w:name="z20" w:id="18"/>
    <w:p>
      <w:pPr>
        <w:spacing w:after="0"/>
        <w:ind w:left="0"/>
        <w:jc w:val="both"/>
      </w:pPr>
      <w:r>
        <w:rPr>
          <w:rFonts w:ascii="Times New Roman"/>
          <w:b w:val="false"/>
          <w:i w:val="false"/>
          <w:color w:val="000000"/>
          <w:sz w:val="28"/>
        </w:rPr>
        <w:t xml:space="preserve">
      6) принятие мер предусмотренных планом рекапитализации Фонда и (или) Организации, в случае возможного ухудшения финансового положения Фонда и (или) Организации, составленным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(зарегистрированным в Реестре государственной регистрации нормативных правовых актов под № 5165).</w:t>
      </w:r>
    </w:p>
    <w:bookmarkEnd w:id="18"/>
    <w:bookmarkStart w:name="z21" w:id="19"/>
    <w:p>
      <w:pPr>
        <w:spacing w:after="0"/>
        <w:ind w:left="0"/>
        <w:jc w:val="both"/>
      </w:pPr>
      <w:r>
        <w:rPr>
          <w:rFonts w:ascii="Times New Roman"/>
          <w:b w:val="false"/>
          <w:i w:val="false"/>
          <w:color w:val="000000"/>
          <w:sz w:val="28"/>
        </w:rPr>
        <w:t xml:space="preserve">
      5. Крупным участником с целью увеличения коэффициента достаточности собственного капитала Фонда и (или) Организации, при его снижении ниже нормативного значения, установленного постановлением </w:t>
      </w:r>
      <w:r>
        <w:rPr>
          <w:rFonts w:ascii="Times New Roman"/>
          <w:b w:val="false"/>
          <w:i w:val="false"/>
          <w:color w:val="000000"/>
          <w:sz w:val="28"/>
        </w:rPr>
        <w:t>№ 180</w:t>
      </w:r>
      <w:r>
        <w:rPr>
          <w:rFonts w:ascii="Times New Roman"/>
          <w:b w:val="false"/>
          <w:i w:val="false"/>
          <w:color w:val="000000"/>
          <w:sz w:val="28"/>
        </w:rPr>
        <w:t xml:space="preserve">, постановлением </w:t>
      </w:r>
      <w:r>
        <w:rPr>
          <w:rFonts w:ascii="Times New Roman"/>
          <w:b w:val="false"/>
          <w:i w:val="false"/>
          <w:color w:val="000000"/>
          <w:sz w:val="28"/>
        </w:rPr>
        <w:t>№ 181</w:t>
      </w:r>
      <w:r>
        <w:rPr>
          <w:rFonts w:ascii="Times New Roman"/>
          <w:b w:val="false"/>
          <w:i w:val="false"/>
          <w:color w:val="000000"/>
          <w:sz w:val="28"/>
        </w:rPr>
        <w:t xml:space="preserve">, постановлением </w:t>
      </w:r>
      <w:r>
        <w:rPr>
          <w:rFonts w:ascii="Times New Roman"/>
          <w:b w:val="false"/>
          <w:i w:val="false"/>
          <w:color w:val="000000"/>
          <w:sz w:val="28"/>
        </w:rPr>
        <w:t>№ 215</w:t>
      </w:r>
      <w:r>
        <w:rPr>
          <w:rFonts w:ascii="Times New Roman"/>
          <w:b w:val="false"/>
          <w:i w:val="false"/>
          <w:color w:val="000000"/>
          <w:sz w:val="28"/>
        </w:rPr>
        <w:t>, дополнительно, помимо мер постоянного обеспечения коэффициента достаточности собственного капитала Фонда и (или) Организации, применяются меры оперативного обеспечения.</w:t>
      </w:r>
    </w:p>
    <w:bookmarkEnd w:id="19"/>
    <w:bookmarkStart w:name="z22" w:id="20"/>
    <w:p>
      <w:pPr>
        <w:spacing w:after="0"/>
        <w:ind w:left="0"/>
        <w:jc w:val="both"/>
      </w:pPr>
      <w:r>
        <w:rPr>
          <w:rFonts w:ascii="Times New Roman"/>
          <w:b w:val="false"/>
          <w:i w:val="false"/>
          <w:color w:val="000000"/>
          <w:sz w:val="28"/>
        </w:rPr>
        <w:t>
      6. Меры оперативного обеспечения предусматривают:</w:t>
      </w:r>
    </w:p>
    <w:bookmarkEnd w:id="20"/>
    <w:bookmarkStart w:name="z23" w:id="21"/>
    <w:p>
      <w:pPr>
        <w:spacing w:after="0"/>
        <w:ind w:left="0"/>
        <w:jc w:val="both"/>
      </w:pPr>
      <w:r>
        <w:rPr>
          <w:rFonts w:ascii="Times New Roman"/>
          <w:b w:val="false"/>
          <w:i w:val="false"/>
          <w:color w:val="000000"/>
          <w:sz w:val="28"/>
        </w:rPr>
        <w:t>
      1) действия по обеспечению необходимого значения коэффициента достаточности собственного капитала Фонда и (или) Организации;</w:t>
      </w:r>
    </w:p>
    <w:bookmarkEnd w:id="21"/>
    <w:bookmarkStart w:name="z24" w:id="22"/>
    <w:p>
      <w:pPr>
        <w:spacing w:after="0"/>
        <w:ind w:left="0"/>
        <w:jc w:val="both"/>
      </w:pPr>
      <w:r>
        <w:rPr>
          <w:rFonts w:ascii="Times New Roman"/>
          <w:b w:val="false"/>
          <w:i w:val="false"/>
          <w:color w:val="000000"/>
          <w:sz w:val="28"/>
        </w:rPr>
        <w:t>
      2) действия по изменению структуры активов Фонда и (или) Организации;</w:t>
      </w:r>
    </w:p>
    <w:bookmarkEnd w:id="22"/>
    <w:bookmarkStart w:name="z25" w:id="23"/>
    <w:p>
      <w:pPr>
        <w:spacing w:after="0"/>
        <w:ind w:left="0"/>
        <w:jc w:val="both"/>
      </w:pPr>
      <w:r>
        <w:rPr>
          <w:rFonts w:ascii="Times New Roman"/>
          <w:b w:val="false"/>
          <w:i w:val="false"/>
          <w:color w:val="000000"/>
          <w:sz w:val="28"/>
        </w:rPr>
        <w:t>
      3) действия по изменению организационной структуры Фонда и (или) Организации;</w:t>
      </w:r>
    </w:p>
    <w:bookmarkEnd w:id="23"/>
    <w:bookmarkStart w:name="z26" w:id="24"/>
    <w:p>
      <w:pPr>
        <w:spacing w:after="0"/>
        <w:ind w:left="0"/>
        <w:jc w:val="both"/>
      </w:pPr>
      <w:r>
        <w:rPr>
          <w:rFonts w:ascii="Times New Roman"/>
          <w:b w:val="false"/>
          <w:i w:val="false"/>
          <w:color w:val="000000"/>
          <w:sz w:val="28"/>
        </w:rPr>
        <w:t>
      4) действия по приостановлению начисления и (или) выплаты дивидендов по простым акциям (распределения чистого дохода) Фонда и (или) Организации между его акционерами.</w:t>
      </w:r>
    </w:p>
    <w:bookmarkEnd w:id="24"/>
    <w:bookmarkStart w:name="z27" w:id="25"/>
    <w:p>
      <w:pPr>
        <w:spacing w:after="0"/>
        <w:ind w:left="0"/>
        <w:jc w:val="both"/>
      </w:pPr>
      <w:r>
        <w:rPr>
          <w:rFonts w:ascii="Times New Roman"/>
          <w:b w:val="false"/>
          <w:i w:val="false"/>
          <w:color w:val="000000"/>
          <w:sz w:val="28"/>
        </w:rPr>
        <w:t xml:space="preserve">
      7. Действия по обеспечению необходимого значения коэффициента достаточности собственного капитала Фонда и (или) Организации включают, но не ограничиваются, приобретение крупным участником размещаемых акций Фонда и (или) Организации, оплату стоимости данных акций в целях приведения необходимого размера коэффициента достаточности собственного капитала Фонда и (или) Организации к нормативному значению, установленному постановлением </w:t>
      </w:r>
      <w:r>
        <w:rPr>
          <w:rFonts w:ascii="Times New Roman"/>
          <w:b w:val="false"/>
          <w:i w:val="false"/>
          <w:color w:val="000000"/>
          <w:sz w:val="28"/>
        </w:rPr>
        <w:t>№ 180</w:t>
      </w:r>
      <w:r>
        <w:rPr>
          <w:rFonts w:ascii="Times New Roman"/>
          <w:b w:val="false"/>
          <w:i w:val="false"/>
          <w:color w:val="000000"/>
          <w:sz w:val="28"/>
        </w:rPr>
        <w:t xml:space="preserve">, постановлением </w:t>
      </w:r>
      <w:r>
        <w:rPr>
          <w:rFonts w:ascii="Times New Roman"/>
          <w:b w:val="false"/>
          <w:i w:val="false"/>
          <w:color w:val="000000"/>
          <w:sz w:val="28"/>
        </w:rPr>
        <w:t>№ 181</w:t>
      </w:r>
      <w:r>
        <w:rPr>
          <w:rFonts w:ascii="Times New Roman"/>
          <w:b w:val="false"/>
          <w:i w:val="false"/>
          <w:color w:val="000000"/>
          <w:sz w:val="28"/>
        </w:rPr>
        <w:t xml:space="preserve">, постановлением </w:t>
      </w:r>
      <w:r>
        <w:rPr>
          <w:rFonts w:ascii="Times New Roman"/>
          <w:b w:val="false"/>
          <w:i w:val="false"/>
          <w:color w:val="000000"/>
          <w:sz w:val="28"/>
        </w:rPr>
        <w:t>№ 215</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8. Действия по изменению структуры активов Фонда и (или) Организации осуществляются в виде:</w:t>
      </w:r>
    </w:p>
    <w:bookmarkEnd w:id="26"/>
    <w:bookmarkStart w:name="z29" w:id="27"/>
    <w:p>
      <w:pPr>
        <w:spacing w:after="0"/>
        <w:ind w:left="0"/>
        <w:jc w:val="both"/>
      </w:pPr>
      <w:r>
        <w:rPr>
          <w:rFonts w:ascii="Times New Roman"/>
          <w:b w:val="false"/>
          <w:i w:val="false"/>
          <w:color w:val="000000"/>
          <w:sz w:val="28"/>
        </w:rPr>
        <w:t>
      1) ограничения или приостановления операций, подвергающих Фонд и (или) Организацию кредитному и (или) рыночному рискам;</w:t>
      </w:r>
    </w:p>
    <w:bookmarkEnd w:id="27"/>
    <w:bookmarkStart w:name="z30" w:id="28"/>
    <w:p>
      <w:pPr>
        <w:spacing w:after="0"/>
        <w:ind w:left="0"/>
        <w:jc w:val="both"/>
      </w:pPr>
      <w:r>
        <w:rPr>
          <w:rFonts w:ascii="Times New Roman"/>
          <w:b w:val="false"/>
          <w:i w:val="false"/>
          <w:color w:val="000000"/>
          <w:sz w:val="28"/>
        </w:rPr>
        <w:t>
      2) реструктуризации инвестиционного портфеля накопительного пенсионного фонда с целью снижения рисков по портфелю;</w:t>
      </w:r>
    </w:p>
    <w:bookmarkEnd w:id="28"/>
    <w:bookmarkStart w:name="z31" w:id="29"/>
    <w:p>
      <w:pPr>
        <w:spacing w:after="0"/>
        <w:ind w:left="0"/>
        <w:jc w:val="both"/>
      </w:pPr>
      <w:r>
        <w:rPr>
          <w:rFonts w:ascii="Times New Roman"/>
          <w:b w:val="false"/>
          <w:i w:val="false"/>
          <w:color w:val="000000"/>
          <w:sz w:val="28"/>
        </w:rPr>
        <w:t>
      3) сокращения перечня и объема проводимых операций, связанных со значительными расходами или подвергающих Фонд и (или) Организацию дополнительным рискам.</w:t>
      </w:r>
    </w:p>
    <w:bookmarkEnd w:id="29"/>
    <w:bookmarkStart w:name="z32" w:id="30"/>
    <w:p>
      <w:pPr>
        <w:spacing w:after="0"/>
        <w:ind w:left="0"/>
        <w:jc w:val="both"/>
      </w:pPr>
      <w:r>
        <w:rPr>
          <w:rFonts w:ascii="Times New Roman"/>
          <w:b w:val="false"/>
          <w:i w:val="false"/>
          <w:color w:val="000000"/>
          <w:sz w:val="28"/>
        </w:rPr>
        <w:t>
      9. Действия по изменению организационной структуры Фонда и (или) Организации осуществляются в виде:</w:t>
      </w:r>
    </w:p>
    <w:bookmarkEnd w:id="30"/>
    <w:bookmarkStart w:name="z33" w:id="31"/>
    <w:p>
      <w:pPr>
        <w:spacing w:after="0"/>
        <w:ind w:left="0"/>
        <w:jc w:val="both"/>
      </w:pPr>
      <w:r>
        <w:rPr>
          <w:rFonts w:ascii="Times New Roman"/>
          <w:b w:val="false"/>
          <w:i w:val="false"/>
          <w:color w:val="000000"/>
          <w:sz w:val="28"/>
        </w:rPr>
        <w:t>
      1) сокращения административно-хозяйственных расходов, в том числе посредством ограничения дополнительного найма работников;</w:t>
      </w:r>
    </w:p>
    <w:bookmarkEnd w:id="31"/>
    <w:bookmarkStart w:name="z34" w:id="32"/>
    <w:p>
      <w:pPr>
        <w:spacing w:after="0"/>
        <w:ind w:left="0"/>
        <w:jc w:val="both"/>
      </w:pPr>
      <w:r>
        <w:rPr>
          <w:rFonts w:ascii="Times New Roman"/>
          <w:b w:val="false"/>
          <w:i w:val="false"/>
          <w:color w:val="000000"/>
          <w:sz w:val="28"/>
        </w:rPr>
        <w:t>
      2) изменения штатной численности Фонда и (или) Организации;</w:t>
      </w:r>
    </w:p>
    <w:bookmarkEnd w:id="32"/>
    <w:bookmarkStart w:name="z35" w:id="33"/>
    <w:p>
      <w:pPr>
        <w:spacing w:after="0"/>
        <w:ind w:left="0"/>
        <w:jc w:val="both"/>
      </w:pPr>
      <w:r>
        <w:rPr>
          <w:rFonts w:ascii="Times New Roman"/>
          <w:b w:val="false"/>
          <w:i w:val="false"/>
          <w:color w:val="000000"/>
          <w:sz w:val="28"/>
        </w:rPr>
        <w:t>
      3) изменения состава инвестиционного комитета.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2012 года № 170</w:t>
            </w:r>
          </w:p>
        </w:tc>
      </w:tr>
    </w:tbl>
    <w:bookmarkStart w:name="z37" w:id="34"/>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признаваемых утратившими силу</w:t>
      </w:r>
    </w:p>
    <w:bookmarkEnd w:id="34"/>
    <w:bookmarkStart w:name="z38"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w:t>
      </w:r>
    </w:p>
    <w:bookmarkEnd w:id="35"/>
    <w:p>
      <w:pPr>
        <w:spacing w:after="0"/>
        <w:ind w:left="0"/>
        <w:jc w:val="both"/>
      </w:pPr>
      <w:r>
        <w:rPr>
          <w:rFonts w:ascii="Times New Roman"/>
          <w:b w:val="false"/>
          <w:i w:val="false"/>
          <w:color w:val="000000"/>
          <w:sz w:val="28"/>
        </w:rPr>
        <w:t>
      от 29 декабря 2008 года № 246 "Об утверждении Инструкции о мерах по поддержанию крупным участником открытого накопительного пенсионного фонда, владеющим прямо или косвенно более двадцатью пятью процентами голосующих акций накопительного пенсионного фонда, коэффициентов достаточности собственного капитала открытого накопительного пенсионного фонда" (зарегистрированное в Реестре государственной регистрации нормативных правовых актов под № 5542, опубликованное в 2009 году в Собрании актов центральных исполнительных и иных центральных государственных органов Республики Казахстан № 5, 6 марта 2009 года в газете "Юридическая газета" № 35 (1632)).</w:t>
      </w:r>
    </w:p>
    <w:bookmarkStart w:name="z39"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6204, опубликованным 25 сентября 2010 года в газете "Казахстанская правда" № 253-254).</w:t>
      </w:r>
    </w:p>
    <w:bookmarkEnd w:id="36"/>
    <w:bookmarkStart w:name="z40"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утвержденного постановлением Правления Агентства Республики Казахстан по регулированию и надзору финансового рынка и финансовых организаций от 15 июля 2010 года № 111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6393, опубликованным 12 ноября 2010 года в газете "Казахстанская правда" № 306-309).</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