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e469" w14:textId="b62e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экономики и бюджетного планирования Республики Казахстан от 16 июля 2009 года № 151 "Об утверждении Правил определения целесообразности бюджетного кредитования"</w:t>
      </w:r>
    </w:p>
    <w:p>
      <w:pPr>
        <w:spacing w:after="0"/>
        <w:ind w:left="0"/>
        <w:jc w:val="both"/>
      </w:pPr>
      <w:r>
        <w:rPr>
          <w:rFonts w:ascii="Times New Roman"/>
          <w:b w:val="false"/>
          <w:i w:val="false"/>
          <w:color w:val="000000"/>
          <w:sz w:val="28"/>
        </w:rPr>
        <w:t>Приказ и.о. Министра экономического развития и торговли Республики Казахстан от 18 апреля 2012 года № 115. Зарегистрирован в Министерстве юстиции Республики Казахстан 08 мая 2012 года № 7631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статьи 187 Бюджетного кодекса Республики Казахстан от 4 декабря 2008 года, а также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февраля 2012 года «О внесении изменений и дополнений в некоторые законодательные акты Республики Казахстан по усилению ответственности участников бюджетного процесса, получателей бюджетных средств и повышению эффективности бюджетных процедур»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16 июля 2009 года № 151 «Об утверждении Правил определения целесообразности бюджетного кредитования», (зарегистрированный в Реестре государственной регистрации нормативных правовых актов за № 5727, опубликован в Собрании актов центральных исполнительных и иных центральных государственных органов Республики Казахстан № 8, 2009 года), следующее изменение:</w:t>
      </w:r>
      <w:r>
        <w:br/>
      </w:r>
      <w:r>
        <w:rPr>
          <w:rFonts w:ascii="Times New Roman"/>
          <w:b w:val="false"/>
          <w:i w:val="false"/>
          <w:color w:val="000000"/>
          <w:sz w:val="28"/>
        </w:rPr>
        <w:t>
</w:t>
      </w:r>
      <w:r>
        <w:rPr>
          <w:rFonts w:ascii="Times New Roman"/>
          <w:b w:val="false"/>
          <w:i w:val="false"/>
          <w:color w:val="000000"/>
          <w:sz w:val="28"/>
        </w:rPr>
        <w:t>
      Правила определения целесообразности бюджетного кредитования,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инвестиционной политики (Аязбаев Н.А.)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w:t>
      </w:r>
      <w:r>
        <w:br/>
      </w:r>
      <w:r>
        <w:rPr>
          <w:rFonts w:ascii="Times New Roman"/>
          <w:b w:val="false"/>
          <w:i w:val="false"/>
          <w:color w:val="000000"/>
          <w:sz w:val="28"/>
        </w:rPr>
        <w:t>
вице-министра экономического развития и торговли Республики Казахстан Кусаинова М.А.</w:t>
      </w:r>
      <w:r>
        <w:br/>
      </w:r>
      <w:r>
        <w:rPr>
          <w:rFonts w:ascii="Times New Roman"/>
          <w:b w:val="false"/>
          <w:i w:val="false"/>
          <w:color w:val="000000"/>
          <w:sz w:val="28"/>
        </w:rPr>
        <w:t>
</w:t>
      </w:r>
      <w:r>
        <w:rPr>
          <w:rFonts w:ascii="Times New Roman"/>
          <w:b w:val="false"/>
          <w:i w:val="false"/>
          <w:color w:val="000000"/>
          <w:sz w:val="28"/>
        </w:rPr>
        <w:t>
      4. Действие настоящего приказа не распространяется на отношения, возникшие до введения его в действие.</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И.о. Министра                              М. Кусаинов</w:t>
      </w:r>
    </w:p>
    <w:bookmarkStart w:name="z9"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и.о. Министра экономического </w:t>
      </w:r>
      <w:r>
        <w:br/>
      </w:r>
      <w:r>
        <w:rPr>
          <w:rFonts w:ascii="Times New Roman"/>
          <w:b w:val="false"/>
          <w:i w:val="false"/>
          <w:color w:val="000000"/>
          <w:sz w:val="28"/>
        </w:rPr>
        <w:t>
развития и торговли Республики Казахстан</w:t>
      </w:r>
      <w:r>
        <w:br/>
      </w:r>
      <w:r>
        <w:rPr>
          <w:rFonts w:ascii="Times New Roman"/>
          <w:b w:val="false"/>
          <w:i w:val="false"/>
          <w:color w:val="000000"/>
          <w:sz w:val="28"/>
        </w:rPr>
        <w:t xml:space="preserve">
от 18 апреля 2012 года № 115        </w:t>
      </w:r>
    </w:p>
    <w:bookmarkEnd w:id="1"/>
    <w:bookmarkStart w:name="z10"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экономики и</w:t>
      </w:r>
      <w:r>
        <w:br/>
      </w:r>
      <w:r>
        <w:rPr>
          <w:rFonts w:ascii="Times New Roman"/>
          <w:b w:val="false"/>
          <w:i w:val="false"/>
          <w:color w:val="000000"/>
          <w:sz w:val="28"/>
        </w:rPr>
        <w:t xml:space="preserve">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июля 2009 года № 151  </w:t>
      </w:r>
    </w:p>
    <w:bookmarkEnd w:id="2"/>
    <w:bookmarkStart w:name="z11" w:id="3"/>
    <w:p>
      <w:pPr>
        <w:spacing w:after="0"/>
        <w:ind w:left="0"/>
        <w:jc w:val="left"/>
      </w:pPr>
      <w:r>
        <w:rPr>
          <w:rFonts w:ascii="Times New Roman"/>
          <w:b/>
          <w:i w:val="false"/>
          <w:color w:val="000000"/>
        </w:rPr>
        <w:t xml:space="preserve"> 
Правила</w:t>
      </w:r>
      <w:r>
        <w:br/>
      </w:r>
      <w:r>
        <w:rPr>
          <w:rFonts w:ascii="Times New Roman"/>
          <w:b/>
          <w:i w:val="false"/>
          <w:color w:val="000000"/>
        </w:rPr>
        <w:t>
определения целесообразности бюджетного кредитования</w:t>
      </w:r>
    </w:p>
    <w:bookmarkEnd w:id="3"/>
    <w:bookmarkStart w:name="z12" w:id="4"/>
    <w:p>
      <w:pPr>
        <w:spacing w:after="0"/>
        <w:ind w:left="0"/>
        <w:jc w:val="left"/>
      </w:pPr>
      <w:r>
        <w:rPr>
          <w:rFonts w:ascii="Times New Roman"/>
          <w:b/>
          <w:i w:val="false"/>
          <w:color w:val="000000"/>
        </w:rPr>
        <w:t xml:space="preserve"> 
1. Общие положения</w:t>
      </w:r>
    </w:p>
    <w:bookmarkEnd w:id="4"/>
    <w:bookmarkStart w:name="z13" w:id="5"/>
    <w:p>
      <w:pPr>
        <w:spacing w:after="0"/>
        <w:ind w:left="0"/>
        <w:jc w:val="both"/>
      </w:pPr>
      <w:r>
        <w:rPr>
          <w:rFonts w:ascii="Times New Roman"/>
          <w:b w:val="false"/>
          <w:i w:val="false"/>
          <w:color w:val="000000"/>
          <w:sz w:val="28"/>
        </w:rPr>
        <w:t>
      1. Настоящие Правила определения целесообразности бюджетного кредитования (далее - Правила) определяют порядок рассмотрения и определения целесообразности выделения средств из государственного бюджета в качестве бюджетного кредитования.</w:t>
      </w:r>
      <w:r>
        <w:br/>
      </w:r>
      <w:r>
        <w:rPr>
          <w:rFonts w:ascii="Times New Roman"/>
          <w:b w:val="false"/>
          <w:i w:val="false"/>
          <w:color w:val="000000"/>
          <w:sz w:val="28"/>
        </w:rPr>
        <w:t>
</w:t>
      </w:r>
      <w:r>
        <w:rPr>
          <w:rFonts w:ascii="Times New Roman"/>
          <w:b w:val="false"/>
          <w:i w:val="false"/>
          <w:color w:val="000000"/>
          <w:sz w:val="28"/>
        </w:rPr>
        <w:t>
      2. Бюджетные кредиты предоставляются на цели и в пределах сумм, предусмотренных соответствующими бюджетными программами:</w:t>
      </w:r>
      <w:r>
        <w:br/>
      </w:r>
      <w:r>
        <w:rPr>
          <w:rFonts w:ascii="Times New Roman"/>
          <w:b w:val="false"/>
          <w:i w:val="false"/>
          <w:color w:val="000000"/>
          <w:sz w:val="28"/>
        </w:rPr>
        <w:t>
</w:t>
      </w:r>
      <w:r>
        <w:rPr>
          <w:rFonts w:ascii="Times New Roman"/>
          <w:b w:val="false"/>
          <w:i w:val="false"/>
          <w:color w:val="000000"/>
          <w:sz w:val="28"/>
        </w:rPr>
        <w:t>
      1) в утвержденном республиканском бюджете на текущий финансовый год;</w:t>
      </w:r>
      <w:r>
        <w:br/>
      </w:r>
      <w:r>
        <w:rPr>
          <w:rFonts w:ascii="Times New Roman"/>
          <w:b w:val="false"/>
          <w:i w:val="false"/>
          <w:color w:val="000000"/>
          <w:sz w:val="28"/>
        </w:rPr>
        <w:t>
</w:t>
      </w:r>
      <w:r>
        <w:rPr>
          <w:rFonts w:ascii="Times New Roman"/>
          <w:b w:val="false"/>
          <w:i w:val="false"/>
          <w:color w:val="000000"/>
          <w:sz w:val="28"/>
        </w:rPr>
        <w:t>
      2) в утвержденных решениями маслихатов местных бюджетах на текущий финансовый год.</w:t>
      </w:r>
      <w:r>
        <w:br/>
      </w:r>
      <w:r>
        <w:rPr>
          <w:rFonts w:ascii="Times New Roman"/>
          <w:b w:val="false"/>
          <w:i w:val="false"/>
          <w:color w:val="000000"/>
          <w:sz w:val="28"/>
        </w:rPr>
        <w:t>
</w:t>
      </w:r>
      <w:r>
        <w:rPr>
          <w:rFonts w:ascii="Times New Roman"/>
          <w:b w:val="false"/>
          <w:i w:val="false"/>
          <w:color w:val="000000"/>
          <w:sz w:val="28"/>
        </w:rPr>
        <w:t>
      3. Бюджетные кредиты предоставляются на:</w:t>
      </w:r>
      <w:r>
        <w:br/>
      </w:r>
      <w:r>
        <w:rPr>
          <w:rFonts w:ascii="Times New Roman"/>
          <w:b w:val="false"/>
          <w:i w:val="false"/>
          <w:color w:val="000000"/>
          <w:sz w:val="28"/>
        </w:rPr>
        <w:t>
</w:t>
      </w:r>
      <w:r>
        <w:rPr>
          <w:rFonts w:ascii="Times New Roman"/>
          <w:b w:val="false"/>
          <w:i w:val="false"/>
          <w:color w:val="000000"/>
          <w:sz w:val="28"/>
        </w:rPr>
        <w:t>
      1) реализацию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2) осуществление внешнеэкономической деятельности государства;</w:t>
      </w:r>
      <w:r>
        <w:br/>
      </w:r>
      <w:r>
        <w:rPr>
          <w:rFonts w:ascii="Times New Roman"/>
          <w:b w:val="false"/>
          <w:i w:val="false"/>
          <w:color w:val="000000"/>
          <w:sz w:val="28"/>
        </w:rPr>
        <w:t>
</w:t>
      </w:r>
      <w:r>
        <w:rPr>
          <w:rFonts w:ascii="Times New Roman"/>
          <w:b w:val="false"/>
          <w:i w:val="false"/>
          <w:color w:val="000000"/>
          <w:sz w:val="28"/>
        </w:rPr>
        <w:t>
      3) реализацию государственной инвестиционной политики финансовыми агентствами;</w:t>
      </w:r>
      <w:r>
        <w:br/>
      </w:r>
      <w:r>
        <w:rPr>
          <w:rFonts w:ascii="Times New Roman"/>
          <w:b w:val="false"/>
          <w:i w:val="false"/>
          <w:color w:val="000000"/>
          <w:sz w:val="28"/>
        </w:rPr>
        <w:t>
</w:t>
      </w:r>
      <w:r>
        <w:rPr>
          <w:rFonts w:ascii="Times New Roman"/>
          <w:b w:val="false"/>
          <w:i w:val="false"/>
          <w:color w:val="000000"/>
          <w:sz w:val="28"/>
        </w:rPr>
        <w:t>
      4) покрытие дефицита наличности нижестоящих бюджетов;</w:t>
      </w:r>
      <w:r>
        <w:br/>
      </w:r>
      <w:r>
        <w:rPr>
          <w:rFonts w:ascii="Times New Roman"/>
          <w:b w:val="false"/>
          <w:i w:val="false"/>
          <w:color w:val="000000"/>
          <w:sz w:val="28"/>
        </w:rPr>
        <w:t>
</w:t>
      </w:r>
      <w:r>
        <w:rPr>
          <w:rFonts w:ascii="Times New Roman"/>
          <w:b w:val="false"/>
          <w:i w:val="false"/>
          <w:color w:val="000000"/>
          <w:sz w:val="28"/>
        </w:rPr>
        <w:t>
      5) на решение задач социальной политики государства.</w:t>
      </w:r>
      <w:r>
        <w:br/>
      </w:r>
      <w:r>
        <w:rPr>
          <w:rFonts w:ascii="Times New Roman"/>
          <w:b w:val="false"/>
          <w:i w:val="false"/>
          <w:color w:val="000000"/>
          <w:sz w:val="28"/>
        </w:rPr>
        <w:t>
</w:t>
      </w:r>
      <w:r>
        <w:rPr>
          <w:rFonts w:ascii="Times New Roman"/>
          <w:b w:val="false"/>
          <w:i w:val="false"/>
          <w:color w:val="000000"/>
          <w:sz w:val="28"/>
        </w:rPr>
        <w:t>
      4. Предоставление бюджетных кредитов осуществляется в соответствии со следующими принципами:</w:t>
      </w:r>
      <w:r>
        <w:br/>
      </w:r>
      <w:r>
        <w:rPr>
          <w:rFonts w:ascii="Times New Roman"/>
          <w:b w:val="false"/>
          <w:i w:val="false"/>
          <w:color w:val="000000"/>
          <w:sz w:val="28"/>
        </w:rPr>
        <w:t>
</w:t>
      </w:r>
      <w:r>
        <w:rPr>
          <w:rFonts w:ascii="Times New Roman"/>
          <w:b w:val="false"/>
          <w:i w:val="false"/>
          <w:color w:val="000000"/>
          <w:sz w:val="28"/>
        </w:rPr>
        <w:t>
      1) возвратности, предусматривающим обязательность погашения бюджетного кредита в соответствии с кредитным договором;</w:t>
      </w:r>
      <w:r>
        <w:br/>
      </w:r>
      <w:r>
        <w:rPr>
          <w:rFonts w:ascii="Times New Roman"/>
          <w:b w:val="false"/>
          <w:i w:val="false"/>
          <w:color w:val="000000"/>
          <w:sz w:val="28"/>
        </w:rPr>
        <w:t>
</w:t>
      </w:r>
      <w:r>
        <w:rPr>
          <w:rFonts w:ascii="Times New Roman"/>
          <w:b w:val="false"/>
          <w:i w:val="false"/>
          <w:color w:val="000000"/>
          <w:sz w:val="28"/>
        </w:rPr>
        <w:t>
      2)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w:t>
      </w:r>
      <w:r>
        <w:br/>
      </w:r>
      <w:r>
        <w:rPr>
          <w:rFonts w:ascii="Times New Roman"/>
          <w:b w:val="false"/>
          <w:i w:val="false"/>
          <w:color w:val="000000"/>
          <w:sz w:val="28"/>
        </w:rPr>
        <w:t>
</w:t>
      </w: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w:t>
      </w:r>
      <w:r>
        <w:br/>
      </w:r>
      <w:r>
        <w:rPr>
          <w:rFonts w:ascii="Times New Roman"/>
          <w:b w:val="false"/>
          <w:i w:val="false"/>
          <w:color w:val="000000"/>
          <w:sz w:val="28"/>
        </w:rPr>
        <w:t>
</w:t>
      </w:r>
      <w:r>
        <w:rPr>
          <w:rFonts w:ascii="Times New Roman"/>
          <w:b w:val="false"/>
          <w:i w:val="false"/>
          <w:color w:val="000000"/>
          <w:sz w:val="28"/>
        </w:rPr>
        <w:t>
      4) срочности, предусматривающим установление срока предоставления бюджетного кредита.</w:t>
      </w:r>
      <w:r>
        <w:br/>
      </w:r>
      <w:r>
        <w:rPr>
          <w:rFonts w:ascii="Times New Roman"/>
          <w:b w:val="false"/>
          <w:i w:val="false"/>
          <w:color w:val="000000"/>
          <w:sz w:val="28"/>
        </w:rPr>
        <w:t>
</w:t>
      </w:r>
      <w:r>
        <w:rPr>
          <w:rFonts w:ascii="Times New Roman"/>
          <w:b w:val="false"/>
          <w:i w:val="false"/>
          <w:color w:val="000000"/>
          <w:sz w:val="28"/>
        </w:rPr>
        <w:t>
      5. Заемщики, конечные заемщики, а также условия бюджетного кредитования определяются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Бюджетные кредиты из республиканского бюджета и областных бюджетов могут предоставляться соответственно областным бюджетам, бюджетам города республиканского значения, столицы и бюджетам районов (городов областного значения) на реализацию бюджетных инвестиционных проектов, на решение задач социальной политики государства и в случае прогнозного дефицита наличности в течение финансового года.</w:t>
      </w:r>
      <w:r>
        <w:br/>
      </w:r>
      <w:r>
        <w:rPr>
          <w:rFonts w:ascii="Times New Roman"/>
          <w:b w:val="false"/>
          <w:i w:val="false"/>
          <w:color w:val="000000"/>
          <w:sz w:val="28"/>
        </w:rPr>
        <w:t>
</w:t>
      </w:r>
      <w:r>
        <w:rPr>
          <w:rFonts w:ascii="Times New Roman"/>
          <w:b w:val="false"/>
          <w:i w:val="false"/>
          <w:color w:val="000000"/>
          <w:sz w:val="28"/>
        </w:rPr>
        <w:t>
      7. Бюджетные кредиты предоставляются при соблюдении условий и критериев, определенных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r>
        <w:br/>
      </w:r>
      <w:r>
        <w:rPr>
          <w:rFonts w:ascii="Times New Roman"/>
          <w:b w:val="false"/>
          <w:i w:val="false"/>
          <w:color w:val="000000"/>
          <w:sz w:val="28"/>
        </w:rPr>
        <w:t>
</w:t>
      </w:r>
      <w:r>
        <w:rPr>
          <w:rFonts w:ascii="Times New Roman"/>
          <w:b w:val="false"/>
          <w:i w:val="false"/>
          <w:color w:val="000000"/>
          <w:sz w:val="28"/>
        </w:rPr>
        <w:t>
      9. Уполномоченный орган по бюджетному планированию рассматривает бюджетные программы, предлагаемые администратором бюджетных программ к реализации посредством бюджетного кредитования, на предмет соответствия их критериям бюджетного кредитования, а также экономическое заключение по бюджетным кредитам, направленным на реализацию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10. Определение целесообразности бюджетного кредитования осуществляется бюджетной комиссией при рассмотрении бюджетной заявки и заключения центрального уполномоченного органа по бюджетному планированию или местного уполномоченного органа по государственному планированию на предмет соответствия критериям бюджетного кредитования бюджетных программ, предлагаемых администратором бюджетных программ к реализации посредством бюджетного кредитования.</w:t>
      </w:r>
      <w:r>
        <w:br/>
      </w:r>
      <w:r>
        <w:rPr>
          <w:rFonts w:ascii="Times New Roman"/>
          <w:b w:val="false"/>
          <w:i w:val="false"/>
          <w:color w:val="000000"/>
          <w:sz w:val="28"/>
        </w:rPr>
        <w:t>
</w:t>
      </w:r>
      <w:r>
        <w:rPr>
          <w:rFonts w:ascii="Times New Roman"/>
          <w:b w:val="false"/>
          <w:i w:val="false"/>
          <w:color w:val="000000"/>
          <w:sz w:val="28"/>
        </w:rPr>
        <w:t>
      11. Бюджетная комиссия вырабатывает предложения по включению бюджетной программы в проект бюджета.</w:t>
      </w:r>
    </w:p>
    <w:bookmarkEnd w:id="5"/>
    <w:bookmarkStart w:name="z35" w:id="6"/>
    <w:p>
      <w:pPr>
        <w:spacing w:after="0"/>
        <w:ind w:left="0"/>
        <w:jc w:val="left"/>
      </w:pPr>
      <w:r>
        <w:rPr>
          <w:rFonts w:ascii="Times New Roman"/>
          <w:b/>
          <w:i w:val="false"/>
          <w:color w:val="000000"/>
        </w:rPr>
        <w:t xml:space="preserve"> 
2. Администратор бюджетных программ</w:t>
      </w:r>
    </w:p>
    <w:bookmarkEnd w:id="6"/>
    <w:bookmarkStart w:name="z36" w:id="7"/>
    <w:p>
      <w:pPr>
        <w:spacing w:after="0"/>
        <w:ind w:left="0"/>
        <w:jc w:val="both"/>
      </w:pPr>
      <w:r>
        <w:rPr>
          <w:rFonts w:ascii="Times New Roman"/>
          <w:b w:val="false"/>
          <w:i w:val="false"/>
          <w:color w:val="000000"/>
          <w:sz w:val="28"/>
        </w:rPr>
        <w:t>
      12. Администратор бюджетной программы при бюджетном кредитовании является стороной кредитного договора и осуществляет:</w:t>
      </w:r>
      <w:r>
        <w:br/>
      </w:r>
      <w:r>
        <w:rPr>
          <w:rFonts w:ascii="Times New Roman"/>
          <w:b w:val="false"/>
          <w:i w:val="false"/>
          <w:color w:val="000000"/>
          <w:sz w:val="28"/>
        </w:rPr>
        <w:t>
</w:t>
      </w: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w:t>
      </w:r>
      <w:r>
        <w:br/>
      </w:r>
      <w:r>
        <w:rPr>
          <w:rFonts w:ascii="Times New Roman"/>
          <w:b w:val="false"/>
          <w:i w:val="false"/>
          <w:color w:val="000000"/>
          <w:sz w:val="28"/>
        </w:rPr>
        <w:t>
</w:t>
      </w: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w:t>
      </w:r>
      <w:r>
        <w:br/>
      </w:r>
      <w:r>
        <w:rPr>
          <w:rFonts w:ascii="Times New Roman"/>
          <w:b w:val="false"/>
          <w:i w:val="false"/>
          <w:color w:val="000000"/>
          <w:sz w:val="28"/>
        </w:rPr>
        <w:t>
</w:t>
      </w:r>
      <w:r>
        <w:rPr>
          <w:rFonts w:ascii="Times New Roman"/>
          <w:b w:val="false"/>
          <w:i w:val="false"/>
          <w:color w:val="000000"/>
          <w:sz w:val="28"/>
        </w:rPr>
        <w:t>
      13. Администратор бюджетных программ составляет бюджетную заявку в пределах лимитов расходов, перечня и объемов финансирования из соответствующего бюджета, определенных соответствующей бюджетной комиссией. При составлении бюджетной заявки администратор бюджетных программ определяет мероприятия, которые могут быть профинансированы путем бюджетного кредитования.</w:t>
      </w:r>
      <w:r>
        <w:br/>
      </w:r>
      <w:r>
        <w:rPr>
          <w:rFonts w:ascii="Times New Roman"/>
          <w:b w:val="false"/>
          <w:i w:val="false"/>
          <w:color w:val="000000"/>
          <w:sz w:val="28"/>
        </w:rPr>
        <w:t>
</w:t>
      </w:r>
      <w:r>
        <w:rPr>
          <w:rFonts w:ascii="Times New Roman"/>
          <w:b w:val="false"/>
          <w:i w:val="false"/>
          <w:color w:val="000000"/>
          <w:sz w:val="28"/>
        </w:rPr>
        <w:t>
      14. Администратор бюджетной программы или уполномоченный орган по исполнению бюджета определяет поверенного (агента) в соответствии с законодательством Республики Казахстан о государственных закупках, за исключением финансового агентства.</w:t>
      </w:r>
      <w:r>
        <w:br/>
      </w:r>
      <w:r>
        <w:rPr>
          <w:rFonts w:ascii="Times New Roman"/>
          <w:b w:val="false"/>
          <w:i w:val="false"/>
          <w:color w:val="000000"/>
          <w:sz w:val="28"/>
        </w:rPr>
        <w:t>
</w:t>
      </w:r>
      <w:r>
        <w:rPr>
          <w:rFonts w:ascii="Times New Roman"/>
          <w:b w:val="false"/>
          <w:i w:val="false"/>
          <w:color w:val="000000"/>
          <w:sz w:val="28"/>
        </w:rPr>
        <w:t>
      Поверенным (агентом) является лицо, которое на основе договора поручения совершает от имени и за счет кредитора (доверителя) и в соответствии с его указаниями определенные поручения, связанные с бюджетным кредитованием.</w:t>
      </w:r>
      <w:r>
        <w:br/>
      </w:r>
      <w:r>
        <w:rPr>
          <w:rFonts w:ascii="Times New Roman"/>
          <w:b w:val="false"/>
          <w:i w:val="false"/>
          <w:color w:val="000000"/>
          <w:sz w:val="28"/>
        </w:rPr>
        <w:t>
</w:t>
      </w:r>
      <w:r>
        <w:rPr>
          <w:rFonts w:ascii="Times New Roman"/>
          <w:b w:val="false"/>
          <w:i w:val="false"/>
          <w:color w:val="000000"/>
          <w:sz w:val="28"/>
        </w:rPr>
        <w:t>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r>
        <w:br/>
      </w:r>
      <w:r>
        <w:rPr>
          <w:rFonts w:ascii="Times New Roman"/>
          <w:b w:val="false"/>
          <w:i w:val="false"/>
          <w:color w:val="000000"/>
          <w:sz w:val="28"/>
        </w:rPr>
        <w:t>
</w:t>
      </w:r>
      <w:r>
        <w:rPr>
          <w:rFonts w:ascii="Times New Roman"/>
          <w:b w:val="false"/>
          <w:i w:val="false"/>
          <w:color w:val="000000"/>
          <w:sz w:val="28"/>
        </w:rPr>
        <w:t>
      15. Для определения целесообразности бюджетного кредитования администратор бюджетной программы предоставляет обосновывающую документацию, которая должна включать в себя:</w:t>
      </w:r>
      <w:r>
        <w:br/>
      </w:r>
      <w:r>
        <w:rPr>
          <w:rFonts w:ascii="Times New Roman"/>
          <w:b w:val="false"/>
          <w:i w:val="false"/>
          <w:color w:val="000000"/>
          <w:sz w:val="28"/>
        </w:rPr>
        <w:t>
</w:t>
      </w:r>
      <w:r>
        <w:rPr>
          <w:rFonts w:ascii="Times New Roman"/>
          <w:b w:val="false"/>
          <w:i w:val="false"/>
          <w:color w:val="000000"/>
          <w:sz w:val="28"/>
        </w:rPr>
        <w:t>
      1) расчеты по видам расходов по бюджетной программе, включенной в состав проекта стратегического плана для реализации путем бюджетного кредитования;</w:t>
      </w:r>
      <w:r>
        <w:br/>
      </w:r>
      <w:r>
        <w:rPr>
          <w:rFonts w:ascii="Times New Roman"/>
          <w:b w:val="false"/>
          <w:i w:val="false"/>
          <w:color w:val="000000"/>
          <w:sz w:val="28"/>
        </w:rPr>
        <w:t>
</w:t>
      </w:r>
      <w:r>
        <w:rPr>
          <w:rFonts w:ascii="Times New Roman"/>
          <w:b w:val="false"/>
          <w:i w:val="false"/>
          <w:color w:val="000000"/>
          <w:sz w:val="28"/>
        </w:rPr>
        <w:t>
      2) информационный лист (представляется в произвольной форме), в котором указывается направление бюджетного кредитования, а также информация об исходных условиях и факторах расчетов экономической и финансовой эффективности реализации инвестиционной программы, рассмотрение альтернативных источников и схем финансирования проекта;</w:t>
      </w:r>
      <w:r>
        <w:br/>
      </w:r>
      <w:r>
        <w:rPr>
          <w:rFonts w:ascii="Times New Roman"/>
          <w:b w:val="false"/>
          <w:i w:val="false"/>
          <w:color w:val="000000"/>
          <w:sz w:val="28"/>
        </w:rPr>
        <w:t>
</w:t>
      </w:r>
      <w:r>
        <w:rPr>
          <w:rFonts w:ascii="Times New Roman"/>
          <w:b w:val="false"/>
          <w:i w:val="false"/>
          <w:color w:val="000000"/>
          <w:sz w:val="28"/>
        </w:rPr>
        <w:t>
      3) обосновывающую информацию для определения целесообразности бюджетного кредитования в целях реализации проекта:</w:t>
      </w:r>
      <w:r>
        <w:br/>
      </w:r>
      <w:r>
        <w:rPr>
          <w:rFonts w:ascii="Times New Roman"/>
          <w:b w:val="false"/>
          <w:i w:val="false"/>
          <w:color w:val="000000"/>
          <w:sz w:val="28"/>
        </w:rPr>
        <w:t>
</w:t>
      </w:r>
      <w:r>
        <w:rPr>
          <w:rFonts w:ascii="Times New Roman"/>
          <w:b w:val="false"/>
          <w:i w:val="false"/>
          <w:color w:val="000000"/>
          <w:sz w:val="28"/>
        </w:rPr>
        <w:t>
      подтверждение объема затрат на реализацию проекта;</w:t>
      </w:r>
      <w:r>
        <w:br/>
      </w:r>
      <w:r>
        <w:rPr>
          <w:rFonts w:ascii="Times New Roman"/>
          <w:b w:val="false"/>
          <w:i w:val="false"/>
          <w:color w:val="000000"/>
          <w:sz w:val="28"/>
        </w:rPr>
        <w:t>
</w:t>
      </w:r>
      <w:r>
        <w:rPr>
          <w:rFonts w:ascii="Times New Roman"/>
          <w:b w:val="false"/>
          <w:i w:val="false"/>
          <w:color w:val="000000"/>
          <w:sz w:val="28"/>
        </w:rPr>
        <w:t>
      анализ источников финансирования проектов, реализуемых в соответствующей отрасли, в том числе за счет привлечения кредитов банков второго уровня;</w:t>
      </w:r>
      <w:r>
        <w:br/>
      </w:r>
      <w:r>
        <w:rPr>
          <w:rFonts w:ascii="Times New Roman"/>
          <w:b w:val="false"/>
          <w:i w:val="false"/>
          <w:color w:val="000000"/>
          <w:sz w:val="28"/>
        </w:rPr>
        <w:t>
</w:t>
      </w:r>
      <w:r>
        <w:rPr>
          <w:rFonts w:ascii="Times New Roman"/>
          <w:b w:val="false"/>
          <w:i w:val="false"/>
          <w:color w:val="000000"/>
          <w:sz w:val="28"/>
        </w:rPr>
        <w:t>
      обоснование условий кредитования (в том числе срок, ставка вознаграждения, сумма кредита и график его погашения);</w:t>
      </w:r>
      <w:r>
        <w:br/>
      </w:r>
      <w:r>
        <w:rPr>
          <w:rFonts w:ascii="Times New Roman"/>
          <w:b w:val="false"/>
          <w:i w:val="false"/>
          <w:color w:val="000000"/>
          <w:sz w:val="28"/>
        </w:rPr>
        <w:t>
</w:t>
      </w:r>
      <w:r>
        <w:rPr>
          <w:rFonts w:ascii="Times New Roman"/>
          <w:b w:val="false"/>
          <w:i w:val="false"/>
          <w:color w:val="000000"/>
          <w:sz w:val="28"/>
        </w:rPr>
        <w:t>
      обоснование условий кредитования конечных заемщиков (в случае наличия таковых);</w:t>
      </w:r>
      <w:r>
        <w:br/>
      </w:r>
      <w:r>
        <w:rPr>
          <w:rFonts w:ascii="Times New Roman"/>
          <w:b w:val="false"/>
          <w:i w:val="false"/>
          <w:color w:val="000000"/>
          <w:sz w:val="28"/>
        </w:rPr>
        <w:t>
</w:t>
      </w:r>
      <w:r>
        <w:rPr>
          <w:rFonts w:ascii="Times New Roman"/>
          <w:b w:val="false"/>
          <w:i w:val="false"/>
          <w:color w:val="000000"/>
          <w:sz w:val="28"/>
        </w:rPr>
        <w:t>
      перечень показателей, представляемых согласно приложению к настоящим Правилам, а также перечень документов согласно </w:t>
      </w:r>
      <w:r>
        <w:rPr>
          <w:rFonts w:ascii="Times New Roman"/>
          <w:b w:val="false"/>
          <w:i w:val="false"/>
          <w:color w:val="000000"/>
          <w:sz w:val="28"/>
        </w:rPr>
        <w:t>пункту 565-2</w:t>
      </w:r>
      <w:r>
        <w:rPr>
          <w:rFonts w:ascii="Times New Roman"/>
          <w:b w:val="false"/>
          <w:i w:val="false"/>
          <w:color w:val="000000"/>
          <w:sz w:val="28"/>
        </w:rPr>
        <w:t xml:space="preserve"> Правил исполнения бюджета и его кассового обслуживания, утвержденных постановлением Правительства Республики Казахстан от 26 февраля 2009 года № 220 (далее – Правила исполнения бюджета), при бюджетном кредитовании финансовых агентств;</w:t>
      </w:r>
      <w:r>
        <w:br/>
      </w:r>
      <w:r>
        <w:rPr>
          <w:rFonts w:ascii="Times New Roman"/>
          <w:b w:val="false"/>
          <w:i w:val="false"/>
          <w:color w:val="000000"/>
          <w:sz w:val="28"/>
        </w:rPr>
        <w:t>
</w:t>
      </w:r>
      <w:r>
        <w:rPr>
          <w:rFonts w:ascii="Times New Roman"/>
          <w:b w:val="false"/>
          <w:i w:val="false"/>
          <w:color w:val="000000"/>
          <w:sz w:val="28"/>
        </w:rPr>
        <w:t>
      4) пояснительную записку.</w:t>
      </w:r>
    </w:p>
    <w:bookmarkEnd w:id="7"/>
    <w:bookmarkStart w:name="z53" w:id="8"/>
    <w:p>
      <w:pPr>
        <w:spacing w:after="0"/>
        <w:ind w:left="0"/>
        <w:jc w:val="left"/>
      </w:pPr>
      <w:r>
        <w:rPr>
          <w:rFonts w:ascii="Times New Roman"/>
          <w:b/>
          <w:i w:val="false"/>
          <w:color w:val="000000"/>
        </w:rPr>
        <w:t xml:space="preserve"> 
3. Порядок определения ставок вознаграждения</w:t>
      </w:r>
      <w:r>
        <w:br/>
      </w:r>
      <w:r>
        <w:rPr>
          <w:rFonts w:ascii="Times New Roman"/>
          <w:b/>
          <w:i w:val="false"/>
          <w:color w:val="000000"/>
        </w:rPr>
        <w:t>
при предоставлении бюджетных кредитов</w:t>
      </w:r>
    </w:p>
    <w:bookmarkEnd w:id="8"/>
    <w:bookmarkStart w:name="z54" w:id="9"/>
    <w:p>
      <w:pPr>
        <w:spacing w:after="0"/>
        <w:ind w:left="0"/>
        <w:jc w:val="both"/>
      </w:pPr>
      <w:r>
        <w:rPr>
          <w:rFonts w:ascii="Times New Roman"/>
          <w:b w:val="false"/>
          <w:i w:val="false"/>
          <w:color w:val="000000"/>
          <w:sz w:val="28"/>
        </w:rPr>
        <w:t>
      16. Ставка вознаграждения по бюджетным кредитам, за исключением ставок вознаграждения по бюджетным кредитам местным исполнительным органам областей, города республиканского значения, столицы, финансовым агентствам определяется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w:t>
      </w:r>
      <w:r>
        <w:br/>
      </w:r>
      <w:r>
        <w:rPr>
          <w:rFonts w:ascii="Times New Roman"/>
          <w:b w:val="false"/>
          <w:i w:val="false"/>
          <w:color w:val="000000"/>
          <w:sz w:val="28"/>
        </w:rPr>
        <w:t>
</w:t>
      </w:r>
      <w:r>
        <w:rPr>
          <w:rFonts w:ascii="Times New Roman"/>
          <w:b w:val="false"/>
          <w:i w:val="false"/>
          <w:color w:val="000000"/>
          <w:sz w:val="28"/>
        </w:rPr>
        <w:t>
      17. Ставка вознаграждения по бюджетному кредиту при реализации инвестиционных проектов определяется в последовательности: для конечного заемщика – для заемщиков. Администратором бюджетной программы должны быть представлены расчеты и обоснования по ставке доходности, позволяющей реализовать проект, и величинам параметров, закладываемых в маржу заемщиков.</w:t>
      </w:r>
      <w:r>
        <w:br/>
      </w:r>
      <w:r>
        <w:rPr>
          <w:rFonts w:ascii="Times New Roman"/>
          <w:b w:val="false"/>
          <w:i w:val="false"/>
          <w:color w:val="000000"/>
          <w:sz w:val="28"/>
        </w:rPr>
        <w:t>
</w:t>
      </w:r>
      <w:r>
        <w:rPr>
          <w:rFonts w:ascii="Times New Roman"/>
          <w:b w:val="false"/>
          <w:i w:val="false"/>
          <w:color w:val="000000"/>
          <w:sz w:val="28"/>
        </w:rPr>
        <w:t>
      Размер ставки вознаграждения для конечного заемщика при реализации инвестиционных проектов устанавливается расчетным путем, исходя из финансово-экономической эффективности проекта, и равно значению внутренней нормы доходности, определяемой согласно пункту 5 приложения к настоящим Правилам.</w:t>
      </w:r>
      <w:r>
        <w:br/>
      </w:r>
      <w:r>
        <w:rPr>
          <w:rFonts w:ascii="Times New Roman"/>
          <w:b w:val="false"/>
          <w:i w:val="false"/>
          <w:color w:val="000000"/>
          <w:sz w:val="28"/>
        </w:rPr>
        <w:t>
</w:t>
      </w:r>
      <w:r>
        <w:rPr>
          <w:rFonts w:ascii="Times New Roman"/>
          <w:b w:val="false"/>
          <w:i w:val="false"/>
          <w:color w:val="000000"/>
          <w:sz w:val="28"/>
        </w:rPr>
        <w:t>
      При этом, размер ставки вознаграждения для конечного заемщика, устанавливаемый специализированной организацией, за исключением ставки вознаграждения по кредитам, предоставляемым субъектам агропромышленного комплекса, не должен превышать двукратной ставки вознаграждения, устанавливаемой на уровне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w:t>
      </w:r>
      <w:r>
        <w:br/>
      </w:r>
      <w:r>
        <w:rPr>
          <w:rFonts w:ascii="Times New Roman"/>
          <w:b w:val="false"/>
          <w:i w:val="false"/>
          <w:color w:val="000000"/>
          <w:sz w:val="28"/>
        </w:rPr>
        <w:t>
</w:t>
      </w:r>
      <w:r>
        <w:rPr>
          <w:rFonts w:ascii="Times New Roman"/>
          <w:b w:val="false"/>
          <w:i w:val="false"/>
          <w:color w:val="000000"/>
          <w:sz w:val="28"/>
        </w:rPr>
        <w:t>
      При бюджетном кредитовании на решение задач социальной политики государства и на реализацию государственной инвестиционной политики финансовыми агентствами маржа заемщика, определяется расчетным путем, исходя из величины закладываемых операционных расходов, и рекомендуемое значение от 0 % до 1,5 % от суммы бюджетного кредита ежегодно. При этом, в составе маржи заемщика уровень административных расходов не должен превышать 1 % от суммы бюджетного кредита ежегодно, оценка риска не должна превышать 1 % от суммы бюджетного кредита ежегодно.</w:t>
      </w:r>
      <w:r>
        <w:br/>
      </w:r>
      <w:r>
        <w:rPr>
          <w:rFonts w:ascii="Times New Roman"/>
          <w:b w:val="false"/>
          <w:i w:val="false"/>
          <w:color w:val="000000"/>
          <w:sz w:val="28"/>
        </w:rPr>
        <w:t>
</w:t>
      </w:r>
      <w:r>
        <w:rPr>
          <w:rFonts w:ascii="Times New Roman"/>
          <w:b w:val="false"/>
          <w:i w:val="false"/>
          <w:color w:val="000000"/>
          <w:sz w:val="28"/>
        </w:rPr>
        <w:t>
      Данные величины рассчитываются на основании предоставленной информации в составе документации согласно пунктам 15 и 26 настоящих Правил.</w:t>
      </w:r>
      <w:r>
        <w:br/>
      </w:r>
      <w:r>
        <w:rPr>
          <w:rFonts w:ascii="Times New Roman"/>
          <w:b w:val="false"/>
          <w:i w:val="false"/>
          <w:color w:val="000000"/>
          <w:sz w:val="28"/>
        </w:rPr>
        <w:t>
</w:t>
      </w:r>
      <w:r>
        <w:rPr>
          <w:rFonts w:ascii="Times New Roman"/>
          <w:b w:val="false"/>
          <w:i w:val="false"/>
          <w:color w:val="000000"/>
          <w:sz w:val="28"/>
        </w:rPr>
        <w:t>
      18. Ставка вознаграждения по бюджетным кредитам местным исполнительным органам областей, города республиканского значения, столицы устанавливается решением кредитора.</w:t>
      </w:r>
      <w:r>
        <w:br/>
      </w:r>
      <w:r>
        <w:rPr>
          <w:rFonts w:ascii="Times New Roman"/>
          <w:b w:val="false"/>
          <w:i w:val="false"/>
          <w:color w:val="000000"/>
          <w:sz w:val="28"/>
        </w:rPr>
        <w:t>
</w:t>
      </w:r>
      <w:r>
        <w:rPr>
          <w:rFonts w:ascii="Times New Roman"/>
          <w:b w:val="false"/>
          <w:i w:val="false"/>
          <w:color w:val="000000"/>
          <w:sz w:val="28"/>
        </w:rPr>
        <w:t>
      19. Ставка вознаграждения по бюджетному кредиту для целей пополнения оборотных средств определяется по предложениям администратора бюджетной программы при представлении расчетов и обоснований согласно пункту 15 настоящих Правил.</w:t>
      </w:r>
      <w:r>
        <w:br/>
      </w:r>
      <w:r>
        <w:rPr>
          <w:rFonts w:ascii="Times New Roman"/>
          <w:b w:val="false"/>
          <w:i w:val="false"/>
          <w:color w:val="000000"/>
          <w:sz w:val="28"/>
        </w:rPr>
        <w:t>
</w:t>
      </w:r>
      <w:r>
        <w:rPr>
          <w:rFonts w:ascii="Times New Roman"/>
          <w:b w:val="false"/>
          <w:i w:val="false"/>
          <w:color w:val="000000"/>
          <w:sz w:val="28"/>
        </w:rPr>
        <w:t>
      При этом, по организациям, осуществляющим отдельные виды банковских операций, должны соблюдаться пруденциальные нормативы уполномоченного органа по регулированию и надзору финансового рынка и финансовых организаций.</w:t>
      </w:r>
    </w:p>
    <w:bookmarkEnd w:id="9"/>
    <w:bookmarkStart w:name="z63" w:id="10"/>
    <w:p>
      <w:pPr>
        <w:spacing w:after="0"/>
        <w:ind w:left="0"/>
        <w:jc w:val="left"/>
      </w:pPr>
      <w:r>
        <w:rPr>
          <w:rFonts w:ascii="Times New Roman"/>
          <w:b/>
          <w:i w:val="false"/>
          <w:color w:val="000000"/>
        </w:rPr>
        <w:t xml:space="preserve"> 
4. Порядок определения целесообразности бюджетного кредитования</w:t>
      </w:r>
      <w:r>
        <w:br/>
      </w:r>
      <w:r>
        <w:rPr>
          <w:rFonts w:ascii="Times New Roman"/>
          <w:b/>
          <w:i w:val="false"/>
          <w:color w:val="000000"/>
        </w:rPr>
        <w:t>
при реализации бюджетных инвестиционных проектов</w:t>
      </w:r>
    </w:p>
    <w:bookmarkEnd w:id="10"/>
    <w:bookmarkStart w:name="z64" w:id="11"/>
    <w:p>
      <w:pPr>
        <w:spacing w:after="0"/>
        <w:ind w:left="0"/>
        <w:jc w:val="both"/>
      </w:pPr>
      <w:r>
        <w:rPr>
          <w:rFonts w:ascii="Times New Roman"/>
          <w:b w:val="false"/>
          <w:i w:val="false"/>
          <w:color w:val="000000"/>
          <w:sz w:val="28"/>
        </w:rPr>
        <w:t>
      20. Определение целесообразности бюджетного кредитования для реализации бюджетных инвестиционных проектов осуществляется в соответствии с Правилами рассмотрения, отбора, мониторинга и оценки реализации бюджетных инвестиционных проектов,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2009 года № 545.</w:t>
      </w:r>
      <w:r>
        <w:br/>
      </w:r>
      <w:r>
        <w:rPr>
          <w:rFonts w:ascii="Times New Roman"/>
          <w:b w:val="false"/>
          <w:i w:val="false"/>
          <w:color w:val="000000"/>
          <w:sz w:val="28"/>
        </w:rPr>
        <w:t>
</w:t>
      </w:r>
      <w:r>
        <w:rPr>
          <w:rFonts w:ascii="Times New Roman"/>
          <w:b w:val="false"/>
          <w:i w:val="false"/>
          <w:color w:val="000000"/>
          <w:sz w:val="28"/>
        </w:rPr>
        <w:t>
      21. Администратор бюджетной программы вносит документацию согласно пунктам 15 и 20 настоящих Правил, с приложением экономического заключения по бюджетным кредитам, планируемых к финансированию за счет республиканского бюджета на реализацию местных бюджетных инвестиционных проектов, в центральный уполномоченный орган по государственному планированию в составе проекта стратегического плана до 1 апреля года, предшествующего планируемому.</w:t>
      </w:r>
      <w:r>
        <w:br/>
      </w:r>
      <w:r>
        <w:rPr>
          <w:rFonts w:ascii="Times New Roman"/>
          <w:b w:val="false"/>
          <w:i w:val="false"/>
          <w:color w:val="000000"/>
          <w:sz w:val="28"/>
        </w:rPr>
        <w:t>
</w:t>
      </w:r>
      <w:r>
        <w:rPr>
          <w:rFonts w:ascii="Times New Roman"/>
          <w:b w:val="false"/>
          <w:i w:val="false"/>
          <w:color w:val="000000"/>
          <w:sz w:val="28"/>
        </w:rPr>
        <w:t>
      Представление заключения о целесообразности бюджетного кредита местному исполнительному органу по бюджетным кредитам, планируемых к финансированию за счет республиканского бюджета на реализацию местных бюджетных инвестиционных проектов, осуществляется центральным уполномоченным органом по государственному планированию с учетом заключения центрального уполномоченного органа по бюджетному планированию на соответствие их критериям бюджетного кредитования и лимита долга местного исполнительного органа на соответствующий год.</w:t>
      </w:r>
    </w:p>
    <w:bookmarkEnd w:id="11"/>
    <w:bookmarkStart w:name="z67" w:id="12"/>
    <w:p>
      <w:pPr>
        <w:spacing w:after="0"/>
        <w:ind w:left="0"/>
        <w:jc w:val="left"/>
      </w:pPr>
      <w:r>
        <w:rPr>
          <w:rFonts w:ascii="Times New Roman"/>
          <w:b/>
          <w:i w:val="false"/>
          <w:color w:val="000000"/>
        </w:rPr>
        <w:t xml:space="preserve"> 
5. Порядок определения целесообразности бюджетного кредитования</w:t>
      </w:r>
      <w:r>
        <w:br/>
      </w:r>
      <w:r>
        <w:rPr>
          <w:rFonts w:ascii="Times New Roman"/>
          <w:b/>
          <w:i w:val="false"/>
          <w:color w:val="000000"/>
        </w:rPr>
        <w:t>
на осуществление внешнеэкономической деятельности государства</w:t>
      </w:r>
    </w:p>
    <w:bookmarkEnd w:id="12"/>
    <w:bookmarkStart w:name="z68" w:id="13"/>
    <w:p>
      <w:pPr>
        <w:spacing w:after="0"/>
        <w:ind w:left="0"/>
        <w:jc w:val="both"/>
      </w:pPr>
      <w:r>
        <w:rPr>
          <w:rFonts w:ascii="Times New Roman"/>
          <w:b w:val="false"/>
          <w:i w:val="false"/>
          <w:color w:val="000000"/>
          <w:sz w:val="28"/>
        </w:rPr>
        <w:t>
      22. Определение целесообразности бюджетного кредитования на осуществление внешнеэкономической деятельности государства основывается на анализе финансово-экономического обоснования.</w:t>
      </w:r>
      <w:r>
        <w:br/>
      </w:r>
      <w:r>
        <w:rPr>
          <w:rFonts w:ascii="Times New Roman"/>
          <w:b w:val="false"/>
          <w:i w:val="false"/>
          <w:color w:val="000000"/>
          <w:sz w:val="28"/>
        </w:rPr>
        <w:t>
</w:t>
      </w:r>
      <w:r>
        <w:rPr>
          <w:rFonts w:ascii="Times New Roman"/>
          <w:b w:val="false"/>
          <w:i w:val="false"/>
          <w:color w:val="000000"/>
          <w:sz w:val="28"/>
        </w:rPr>
        <w:t>
      23. Финансово-экономическое обоснование бюджетных кредитов представляет собой документ, содержащий обоснование, целесообразность и оценку результата от вложения бюджетных средств на реализацию соответствующей бюджетной программы, по которому подготавливается заключение уполномоченным органом по внешнеполитической деятельности.</w:t>
      </w:r>
      <w:r>
        <w:br/>
      </w:r>
      <w:r>
        <w:rPr>
          <w:rFonts w:ascii="Times New Roman"/>
          <w:b w:val="false"/>
          <w:i w:val="false"/>
          <w:color w:val="000000"/>
          <w:sz w:val="28"/>
        </w:rPr>
        <w:t>
</w:t>
      </w:r>
      <w:r>
        <w:rPr>
          <w:rFonts w:ascii="Times New Roman"/>
          <w:b w:val="false"/>
          <w:i w:val="false"/>
          <w:color w:val="000000"/>
          <w:sz w:val="28"/>
        </w:rPr>
        <w:t>
      24. При этом в случае наличия мероприятий, предусматривающих строительную деятельность на территории иностранных государств, предусматриваемую в рамках реализации инвестиционных проектов, необходимо предоставление технико-экономического обоснования и заключения по нему, подготовленное в порядке, установленном законодательством государства, на территории которого планируется реализация данного проекта.</w:t>
      </w:r>
    </w:p>
    <w:bookmarkEnd w:id="13"/>
    <w:bookmarkStart w:name="z71" w:id="14"/>
    <w:p>
      <w:pPr>
        <w:spacing w:after="0"/>
        <w:ind w:left="0"/>
        <w:jc w:val="left"/>
      </w:pPr>
      <w:r>
        <w:rPr>
          <w:rFonts w:ascii="Times New Roman"/>
          <w:b/>
          <w:i w:val="false"/>
          <w:color w:val="000000"/>
        </w:rPr>
        <w:t xml:space="preserve"> 
6. Порядок определения целесообразности бюджетного кредитования</w:t>
      </w:r>
      <w:r>
        <w:br/>
      </w:r>
      <w:r>
        <w:rPr>
          <w:rFonts w:ascii="Times New Roman"/>
          <w:b/>
          <w:i w:val="false"/>
          <w:color w:val="000000"/>
        </w:rPr>
        <w:t>
на реализацию государственной инвестиционной политики</w:t>
      </w:r>
      <w:r>
        <w:br/>
      </w:r>
      <w:r>
        <w:rPr>
          <w:rFonts w:ascii="Times New Roman"/>
          <w:b/>
          <w:i w:val="false"/>
          <w:color w:val="000000"/>
        </w:rPr>
        <w:t>
финансовыми агентствами</w:t>
      </w:r>
    </w:p>
    <w:bookmarkEnd w:id="14"/>
    <w:bookmarkStart w:name="z72" w:id="15"/>
    <w:p>
      <w:pPr>
        <w:spacing w:after="0"/>
        <w:ind w:left="0"/>
        <w:jc w:val="both"/>
      </w:pPr>
      <w:r>
        <w:rPr>
          <w:rFonts w:ascii="Times New Roman"/>
          <w:b w:val="false"/>
          <w:i w:val="false"/>
          <w:color w:val="000000"/>
          <w:sz w:val="28"/>
        </w:rPr>
        <w:t>
      25. Определение целесообразности бюджетного кредитования финансовых агентств основывается на анализе:</w:t>
      </w:r>
      <w:r>
        <w:br/>
      </w:r>
      <w:r>
        <w:rPr>
          <w:rFonts w:ascii="Times New Roman"/>
          <w:b w:val="false"/>
          <w:i w:val="false"/>
          <w:color w:val="000000"/>
          <w:sz w:val="28"/>
        </w:rPr>
        <w:t>
</w:t>
      </w:r>
      <w:r>
        <w:rPr>
          <w:rFonts w:ascii="Times New Roman"/>
          <w:b w:val="false"/>
          <w:i w:val="false"/>
          <w:color w:val="000000"/>
          <w:sz w:val="28"/>
        </w:rPr>
        <w:t>
      1) эффективности инвестиционных проектов, реализуемых за счет бюджетных кредитов;</w:t>
      </w:r>
      <w:r>
        <w:br/>
      </w:r>
      <w:r>
        <w:rPr>
          <w:rFonts w:ascii="Times New Roman"/>
          <w:b w:val="false"/>
          <w:i w:val="false"/>
          <w:color w:val="000000"/>
          <w:sz w:val="28"/>
        </w:rPr>
        <w:t>
</w:t>
      </w:r>
      <w:r>
        <w:rPr>
          <w:rFonts w:ascii="Times New Roman"/>
          <w:b w:val="false"/>
          <w:i w:val="false"/>
          <w:color w:val="000000"/>
          <w:sz w:val="28"/>
        </w:rPr>
        <w:t>
      2) заемщика (специализированных организаций).</w:t>
      </w:r>
      <w:r>
        <w:br/>
      </w:r>
      <w:r>
        <w:rPr>
          <w:rFonts w:ascii="Times New Roman"/>
          <w:b w:val="false"/>
          <w:i w:val="false"/>
          <w:color w:val="000000"/>
          <w:sz w:val="28"/>
        </w:rPr>
        <w:t>
</w:t>
      </w:r>
      <w:r>
        <w:rPr>
          <w:rFonts w:ascii="Times New Roman"/>
          <w:b w:val="false"/>
          <w:i w:val="false"/>
          <w:color w:val="000000"/>
          <w:sz w:val="28"/>
        </w:rPr>
        <w:t>
      При этом, при определении целесообразности бюджетного кредитования на пополнение оборотных средств осуществляется только анализ специализированных организаций.</w:t>
      </w:r>
      <w:r>
        <w:br/>
      </w:r>
      <w:r>
        <w:rPr>
          <w:rFonts w:ascii="Times New Roman"/>
          <w:b w:val="false"/>
          <w:i w:val="false"/>
          <w:color w:val="000000"/>
          <w:sz w:val="28"/>
        </w:rPr>
        <w:t>
</w:t>
      </w:r>
      <w:r>
        <w:rPr>
          <w:rFonts w:ascii="Times New Roman"/>
          <w:b w:val="false"/>
          <w:i w:val="false"/>
          <w:color w:val="000000"/>
          <w:sz w:val="28"/>
        </w:rPr>
        <w:t>
      26. Определение целесообразности бюджетного кредитования финансовых агентств осуществляется на основании данных, представленных администратором бюджетной программы, направленной на предоставление бюджетных кредитов.</w:t>
      </w:r>
      <w:r>
        <w:br/>
      </w:r>
      <w:r>
        <w:rPr>
          <w:rFonts w:ascii="Times New Roman"/>
          <w:b w:val="false"/>
          <w:i w:val="false"/>
          <w:color w:val="000000"/>
          <w:sz w:val="28"/>
        </w:rPr>
        <w:t>
</w:t>
      </w:r>
      <w:r>
        <w:rPr>
          <w:rFonts w:ascii="Times New Roman"/>
          <w:b w:val="false"/>
          <w:i w:val="false"/>
          <w:color w:val="000000"/>
          <w:sz w:val="28"/>
        </w:rPr>
        <w:t xml:space="preserve">
      Анализ эффективности инвестиционных проектов производится на основании технико-экономического обоснования инвестиционного проекта (включающее финансовую модель и связанные с ней материалы). Также в дополнение к обосновывающей документации согласно пункту </w:t>
      </w:r>
      <w:r>
        <w:br/>
      </w:r>
      <w:r>
        <w:rPr>
          <w:rFonts w:ascii="Times New Roman"/>
          <w:b w:val="false"/>
          <w:i w:val="false"/>
          <w:color w:val="000000"/>
          <w:sz w:val="28"/>
        </w:rPr>
        <w:t>
</w:t>
      </w:r>
      <w:r>
        <w:rPr>
          <w:rFonts w:ascii="Times New Roman"/>
          <w:b w:val="false"/>
          <w:i w:val="false"/>
          <w:color w:val="000000"/>
          <w:sz w:val="28"/>
        </w:rPr>
        <w:t>
15 настоящих Правил предоставляется следующая информация:</w:t>
      </w:r>
      <w:r>
        <w:br/>
      </w:r>
      <w:r>
        <w:rPr>
          <w:rFonts w:ascii="Times New Roman"/>
          <w:b w:val="false"/>
          <w:i w:val="false"/>
          <w:color w:val="000000"/>
          <w:sz w:val="28"/>
        </w:rPr>
        <w:t>
</w:t>
      </w:r>
      <w:r>
        <w:rPr>
          <w:rFonts w:ascii="Times New Roman"/>
          <w:b w:val="false"/>
          <w:i w:val="false"/>
          <w:color w:val="000000"/>
          <w:sz w:val="28"/>
        </w:rPr>
        <w:t>
      перечень показателей, представляемых в расчетах к обоснованию представления бюджетного кредита, согласно приложению к настоящим Правилам;</w:t>
      </w:r>
      <w:r>
        <w:br/>
      </w:r>
      <w:r>
        <w:rPr>
          <w:rFonts w:ascii="Times New Roman"/>
          <w:b w:val="false"/>
          <w:i w:val="false"/>
          <w:color w:val="000000"/>
          <w:sz w:val="28"/>
        </w:rPr>
        <w:t>
</w:t>
      </w:r>
      <w:r>
        <w:rPr>
          <w:rFonts w:ascii="Times New Roman"/>
          <w:b w:val="false"/>
          <w:i w:val="false"/>
          <w:color w:val="000000"/>
          <w:sz w:val="28"/>
        </w:rPr>
        <w:t>
      обоснование закладываемых операционных и административных расходов;</w:t>
      </w:r>
      <w:r>
        <w:br/>
      </w:r>
      <w:r>
        <w:rPr>
          <w:rFonts w:ascii="Times New Roman"/>
          <w:b w:val="false"/>
          <w:i w:val="false"/>
          <w:color w:val="000000"/>
          <w:sz w:val="28"/>
        </w:rPr>
        <w:t>
</w:t>
      </w:r>
      <w:r>
        <w:rPr>
          <w:rFonts w:ascii="Times New Roman"/>
          <w:b w:val="false"/>
          <w:i w:val="false"/>
          <w:color w:val="000000"/>
          <w:sz w:val="28"/>
        </w:rPr>
        <w:t>
      оценку рисков по предполагаемым к финансированию проектам (уровень и диапазон изменений);</w:t>
      </w:r>
      <w:r>
        <w:br/>
      </w:r>
      <w:r>
        <w:rPr>
          <w:rFonts w:ascii="Times New Roman"/>
          <w:b w:val="false"/>
          <w:i w:val="false"/>
          <w:color w:val="000000"/>
          <w:sz w:val="28"/>
        </w:rPr>
        <w:t>
</w:t>
      </w:r>
      <w:r>
        <w:rPr>
          <w:rFonts w:ascii="Times New Roman"/>
          <w:b w:val="false"/>
          <w:i w:val="false"/>
          <w:color w:val="000000"/>
          <w:sz w:val="28"/>
        </w:rPr>
        <w:t>
      обоснование маржи участников финансовой схемы;</w:t>
      </w:r>
      <w:r>
        <w:br/>
      </w:r>
      <w:r>
        <w:rPr>
          <w:rFonts w:ascii="Times New Roman"/>
          <w:b w:val="false"/>
          <w:i w:val="false"/>
          <w:color w:val="000000"/>
          <w:sz w:val="28"/>
        </w:rPr>
        <w:t>
</w:t>
      </w:r>
      <w:r>
        <w:rPr>
          <w:rFonts w:ascii="Times New Roman"/>
          <w:b w:val="false"/>
          <w:i w:val="false"/>
          <w:color w:val="000000"/>
          <w:sz w:val="28"/>
        </w:rPr>
        <w:t>
      наличие требований к обеспечению и соблюдению ковенантов участников финансовой схемы;</w:t>
      </w:r>
      <w:r>
        <w:br/>
      </w:r>
      <w:r>
        <w:rPr>
          <w:rFonts w:ascii="Times New Roman"/>
          <w:b w:val="false"/>
          <w:i w:val="false"/>
          <w:color w:val="000000"/>
          <w:sz w:val="28"/>
        </w:rPr>
        <w:t>
</w:t>
      </w:r>
      <w:r>
        <w:rPr>
          <w:rFonts w:ascii="Times New Roman"/>
          <w:b w:val="false"/>
          <w:i w:val="false"/>
          <w:color w:val="000000"/>
          <w:sz w:val="28"/>
        </w:rPr>
        <w:t>
      предполагаемые субъекты последующего кредитования;</w:t>
      </w:r>
      <w:r>
        <w:br/>
      </w:r>
      <w:r>
        <w:rPr>
          <w:rFonts w:ascii="Times New Roman"/>
          <w:b w:val="false"/>
          <w:i w:val="false"/>
          <w:color w:val="000000"/>
          <w:sz w:val="28"/>
        </w:rPr>
        <w:t>
</w:t>
      </w:r>
      <w:r>
        <w:rPr>
          <w:rFonts w:ascii="Times New Roman"/>
          <w:b w:val="false"/>
          <w:i w:val="false"/>
          <w:color w:val="000000"/>
          <w:sz w:val="28"/>
        </w:rPr>
        <w:t>
      структуру кредитного портфеля участников финансовой схемы и оценку его изменения в случае реализации проекта;</w:t>
      </w:r>
      <w:r>
        <w:br/>
      </w:r>
      <w:r>
        <w:rPr>
          <w:rFonts w:ascii="Times New Roman"/>
          <w:b w:val="false"/>
          <w:i w:val="false"/>
          <w:color w:val="000000"/>
          <w:sz w:val="28"/>
        </w:rPr>
        <w:t>
</w:t>
      </w:r>
      <w:r>
        <w:rPr>
          <w:rFonts w:ascii="Times New Roman"/>
          <w:b w:val="false"/>
          <w:i w:val="false"/>
          <w:color w:val="000000"/>
          <w:sz w:val="28"/>
        </w:rPr>
        <w:t>
      финансовая отчетность участников финансовой схемы.</w:t>
      </w:r>
      <w:r>
        <w:br/>
      </w:r>
      <w:r>
        <w:rPr>
          <w:rFonts w:ascii="Times New Roman"/>
          <w:b w:val="false"/>
          <w:i w:val="false"/>
          <w:color w:val="000000"/>
          <w:sz w:val="28"/>
        </w:rPr>
        <w:t>
</w:t>
      </w:r>
      <w:r>
        <w:rPr>
          <w:rFonts w:ascii="Times New Roman"/>
          <w:b w:val="false"/>
          <w:i w:val="false"/>
          <w:color w:val="000000"/>
          <w:sz w:val="28"/>
        </w:rPr>
        <w:t>
      Для проведения анализа конечного заемщика используются данные финансовой отчетности конечного заемщика за 3 предшествующих года (последний отчетный период на дату обращения).</w:t>
      </w:r>
      <w:r>
        <w:br/>
      </w:r>
      <w:r>
        <w:rPr>
          <w:rFonts w:ascii="Times New Roman"/>
          <w:b w:val="false"/>
          <w:i w:val="false"/>
          <w:color w:val="000000"/>
          <w:sz w:val="28"/>
        </w:rPr>
        <w:t>
</w:t>
      </w:r>
      <w:r>
        <w:rPr>
          <w:rFonts w:ascii="Times New Roman"/>
          <w:b w:val="false"/>
          <w:i w:val="false"/>
          <w:color w:val="000000"/>
          <w:sz w:val="28"/>
        </w:rPr>
        <w:t>
      Для анализа заемщика (специализированной организации), функционирующего менее трех лет, принимаются данные за период фактического функционирования.</w:t>
      </w:r>
      <w:r>
        <w:br/>
      </w:r>
      <w:r>
        <w:rPr>
          <w:rFonts w:ascii="Times New Roman"/>
          <w:b w:val="false"/>
          <w:i w:val="false"/>
          <w:color w:val="000000"/>
          <w:sz w:val="28"/>
        </w:rPr>
        <w:t>
</w:t>
      </w:r>
      <w:r>
        <w:rPr>
          <w:rFonts w:ascii="Times New Roman"/>
          <w:b w:val="false"/>
          <w:i w:val="false"/>
          <w:color w:val="000000"/>
          <w:sz w:val="28"/>
        </w:rPr>
        <w:t>
      27. Анализ эффективности инвестиционных проектов, реализуемых за счет бюджетных кредитов, а также заемщика (специализированных организаций) осуществляется на основе показателей согласно приложению к настоящим Правилам.</w:t>
      </w:r>
    </w:p>
    <w:bookmarkEnd w:id="15"/>
    <w:bookmarkStart w:name="z90" w:id="16"/>
    <w:p>
      <w:pPr>
        <w:spacing w:after="0"/>
        <w:ind w:left="0"/>
        <w:jc w:val="left"/>
      </w:pPr>
      <w:r>
        <w:rPr>
          <w:rFonts w:ascii="Times New Roman"/>
          <w:b/>
          <w:i w:val="false"/>
          <w:color w:val="000000"/>
        </w:rPr>
        <w:t xml:space="preserve"> 
7. Порядок определения целесообразности бюджетного кредитования</w:t>
      </w:r>
      <w:r>
        <w:br/>
      </w:r>
      <w:r>
        <w:rPr>
          <w:rFonts w:ascii="Times New Roman"/>
          <w:b/>
          <w:i w:val="false"/>
          <w:color w:val="000000"/>
        </w:rPr>
        <w:t>
на покрытие дефицита наличности нижестоящих бюджетов</w:t>
      </w:r>
    </w:p>
    <w:bookmarkEnd w:id="16"/>
    <w:bookmarkStart w:name="z91" w:id="17"/>
    <w:p>
      <w:pPr>
        <w:spacing w:after="0"/>
        <w:ind w:left="0"/>
        <w:jc w:val="both"/>
      </w:pPr>
      <w:r>
        <w:rPr>
          <w:rFonts w:ascii="Times New Roman"/>
          <w:b w:val="false"/>
          <w:i w:val="false"/>
          <w:color w:val="000000"/>
          <w:sz w:val="28"/>
        </w:rPr>
        <w:t>
      28. Определение целесообразности бюджетного кредитования на покрытие дефицита наличности нижестоящих бюджетов осуществляется в соответствии с Правилами исполнения бюджета.</w:t>
      </w:r>
    </w:p>
    <w:bookmarkEnd w:id="17"/>
    <w:bookmarkStart w:name="z92" w:id="18"/>
    <w:p>
      <w:pPr>
        <w:spacing w:after="0"/>
        <w:ind w:left="0"/>
        <w:jc w:val="left"/>
      </w:pPr>
      <w:r>
        <w:rPr>
          <w:rFonts w:ascii="Times New Roman"/>
          <w:b/>
          <w:i w:val="false"/>
          <w:color w:val="000000"/>
        </w:rPr>
        <w:t xml:space="preserve"> 
8. Порядок определения целесообразности бюджетного кредитования</w:t>
      </w:r>
      <w:r>
        <w:br/>
      </w:r>
      <w:r>
        <w:rPr>
          <w:rFonts w:ascii="Times New Roman"/>
          <w:b/>
          <w:i w:val="false"/>
          <w:color w:val="000000"/>
        </w:rPr>
        <w:t>
на решение задач социальной политики государства</w:t>
      </w:r>
    </w:p>
    <w:bookmarkEnd w:id="18"/>
    <w:bookmarkStart w:name="z93" w:id="19"/>
    <w:p>
      <w:pPr>
        <w:spacing w:after="0"/>
        <w:ind w:left="0"/>
        <w:jc w:val="both"/>
      </w:pPr>
      <w:r>
        <w:rPr>
          <w:rFonts w:ascii="Times New Roman"/>
          <w:b w:val="false"/>
          <w:i w:val="false"/>
          <w:color w:val="000000"/>
          <w:sz w:val="28"/>
        </w:rPr>
        <w:t>
      29. Определение целесообразности бюджетного кредитования на решение задач социальной политики государства осуществляется в рамках рассмотрения проекта соответствующей отраслевой программы, а также документации, предоставляемой администратором бюджетной программы согласно пункту 15 настоящих Правил.</w:t>
      </w:r>
      <w:r>
        <w:br/>
      </w:r>
      <w:r>
        <w:rPr>
          <w:rFonts w:ascii="Times New Roman"/>
          <w:b w:val="false"/>
          <w:i w:val="false"/>
          <w:color w:val="000000"/>
          <w:sz w:val="28"/>
        </w:rPr>
        <w:t>
</w:t>
      </w:r>
      <w:r>
        <w:rPr>
          <w:rFonts w:ascii="Times New Roman"/>
          <w:b w:val="false"/>
          <w:i w:val="false"/>
          <w:color w:val="000000"/>
          <w:sz w:val="28"/>
        </w:rPr>
        <w:t>
      30. Проект отраслевой программы, а также в случае внесения изменений и дополнений в данную программу, предусматривающий мероприятия, планируемые к финансированию посредством бюджетного кредитования, подлежит вынесению на бюджетную комиссию.</w:t>
      </w:r>
      <w:r>
        <w:br/>
      </w:r>
      <w:r>
        <w:rPr>
          <w:rFonts w:ascii="Times New Roman"/>
          <w:b w:val="false"/>
          <w:i w:val="false"/>
          <w:color w:val="000000"/>
          <w:sz w:val="28"/>
        </w:rPr>
        <w:t>
</w:t>
      </w:r>
      <w:r>
        <w:rPr>
          <w:rFonts w:ascii="Times New Roman"/>
          <w:b w:val="false"/>
          <w:i w:val="false"/>
          <w:color w:val="000000"/>
          <w:sz w:val="28"/>
        </w:rPr>
        <w:t>
      31. Бюджетные кредиты не предоставляются на мероприятия, не соответствующие принципам согласно пункту 4 настоящих Правил.</w:t>
      </w:r>
    </w:p>
    <w:bookmarkEnd w:id="19"/>
    <w:bookmarkStart w:name="z96" w:id="2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определения   </w:t>
      </w:r>
      <w:r>
        <w:br/>
      </w:r>
      <w:r>
        <w:rPr>
          <w:rFonts w:ascii="Times New Roman"/>
          <w:b w:val="false"/>
          <w:i w:val="false"/>
          <w:color w:val="000000"/>
          <w:sz w:val="28"/>
        </w:rPr>
        <w:t>
целесообразности бюджетного</w:t>
      </w:r>
      <w:r>
        <w:br/>
      </w:r>
      <w:r>
        <w:rPr>
          <w:rFonts w:ascii="Times New Roman"/>
          <w:b w:val="false"/>
          <w:i w:val="false"/>
          <w:color w:val="000000"/>
          <w:sz w:val="28"/>
        </w:rPr>
        <w:t xml:space="preserve">
кредитования        </w:t>
      </w:r>
    </w:p>
    <w:bookmarkEnd w:id="20"/>
    <w:bookmarkStart w:name="z97" w:id="21"/>
    <w:p>
      <w:pPr>
        <w:spacing w:after="0"/>
        <w:ind w:left="0"/>
        <w:jc w:val="left"/>
      </w:pPr>
      <w:r>
        <w:rPr>
          <w:rFonts w:ascii="Times New Roman"/>
          <w:b/>
          <w:i w:val="false"/>
          <w:color w:val="000000"/>
        </w:rPr>
        <w:t xml:space="preserve"> 
Перечень</w:t>
      </w:r>
      <w:r>
        <w:br/>
      </w:r>
      <w:r>
        <w:rPr>
          <w:rFonts w:ascii="Times New Roman"/>
          <w:b/>
          <w:i w:val="false"/>
          <w:color w:val="000000"/>
        </w:rPr>
        <w:t>
показателей, представляемых в расчетах к обоснованию</w:t>
      </w:r>
      <w:r>
        <w:br/>
      </w:r>
      <w:r>
        <w:rPr>
          <w:rFonts w:ascii="Times New Roman"/>
          <w:b/>
          <w:i w:val="false"/>
          <w:color w:val="000000"/>
        </w:rPr>
        <w:t>
представления бюджетного кредита</w:t>
      </w:r>
    </w:p>
    <w:bookmarkEnd w:id="21"/>
    <w:bookmarkStart w:name="z98" w:id="22"/>
    <w:p>
      <w:pPr>
        <w:spacing w:after="0"/>
        <w:ind w:left="0"/>
        <w:jc w:val="left"/>
      </w:pPr>
      <w:r>
        <w:rPr>
          <w:rFonts w:ascii="Times New Roman"/>
          <w:b/>
          <w:i w:val="false"/>
          <w:color w:val="000000"/>
        </w:rPr>
        <w:t xml:space="preserve"> 
1. Анализ эффективности инвестиционных проектов, планируемых</w:t>
      </w:r>
      <w:r>
        <w:br/>
      </w:r>
      <w:r>
        <w:rPr>
          <w:rFonts w:ascii="Times New Roman"/>
          <w:b/>
          <w:i w:val="false"/>
          <w:color w:val="000000"/>
        </w:rPr>
        <w:t>
к реализации за счет бюджетных кредитов</w:t>
      </w:r>
    </w:p>
    <w:bookmarkEnd w:id="22"/>
    <w:bookmarkStart w:name="z99" w:id="23"/>
    <w:p>
      <w:pPr>
        <w:spacing w:after="0"/>
        <w:ind w:left="0"/>
        <w:jc w:val="both"/>
      </w:pPr>
      <w:r>
        <w:rPr>
          <w:rFonts w:ascii="Times New Roman"/>
          <w:b w:val="false"/>
          <w:i w:val="false"/>
          <w:color w:val="000000"/>
          <w:sz w:val="28"/>
        </w:rPr>
        <w:t>
      1. В целях определения эффективности вложения средств в инвестиционный проект проводится анализ эффективности инвестиционного проекта. Для этого используются следующие показатели:</w:t>
      </w:r>
      <w:r>
        <w:br/>
      </w:r>
      <w:r>
        <w:rPr>
          <w:rFonts w:ascii="Times New Roman"/>
          <w:b w:val="false"/>
          <w:i w:val="false"/>
          <w:color w:val="000000"/>
          <w:sz w:val="28"/>
        </w:rPr>
        <w:t>
</w:t>
      </w:r>
      <w:r>
        <w:rPr>
          <w:rFonts w:ascii="Times New Roman"/>
          <w:b w:val="false"/>
          <w:i w:val="false"/>
          <w:color w:val="000000"/>
          <w:sz w:val="28"/>
        </w:rPr>
        <w:t>
      простой срок окупаемости (payback period, PВP);</w:t>
      </w:r>
      <w:r>
        <w:br/>
      </w:r>
      <w:r>
        <w:rPr>
          <w:rFonts w:ascii="Times New Roman"/>
          <w:b w:val="false"/>
          <w:i w:val="false"/>
          <w:color w:val="000000"/>
          <w:sz w:val="28"/>
        </w:rPr>
        <w:t>
</w:t>
      </w:r>
      <w:r>
        <w:rPr>
          <w:rFonts w:ascii="Times New Roman"/>
          <w:b w:val="false"/>
          <w:i w:val="false"/>
          <w:color w:val="000000"/>
          <w:sz w:val="28"/>
        </w:rPr>
        <w:t>
      дисконтированный период окупаемости (discounted payback period, DBP);</w:t>
      </w:r>
      <w:r>
        <w:br/>
      </w:r>
      <w:r>
        <w:rPr>
          <w:rFonts w:ascii="Times New Roman"/>
          <w:b w:val="false"/>
          <w:i w:val="false"/>
          <w:color w:val="000000"/>
          <w:sz w:val="28"/>
        </w:rPr>
        <w:t>
</w:t>
      </w:r>
      <w:r>
        <w:rPr>
          <w:rFonts w:ascii="Times New Roman"/>
          <w:b w:val="false"/>
          <w:i w:val="false"/>
          <w:color w:val="000000"/>
          <w:sz w:val="28"/>
        </w:rPr>
        <w:t>
      чистый дисконтированный доход (net present value, NPV);</w:t>
      </w:r>
      <w:r>
        <w:br/>
      </w:r>
      <w:r>
        <w:rPr>
          <w:rFonts w:ascii="Times New Roman"/>
          <w:b w:val="false"/>
          <w:i w:val="false"/>
          <w:color w:val="000000"/>
          <w:sz w:val="28"/>
        </w:rPr>
        <w:t>
</w:t>
      </w:r>
      <w:r>
        <w:rPr>
          <w:rFonts w:ascii="Times New Roman"/>
          <w:b w:val="false"/>
          <w:i w:val="false"/>
          <w:color w:val="000000"/>
          <w:sz w:val="28"/>
        </w:rPr>
        <w:t>
      внутренняя норма доходности (internal rate of return, IRR);</w:t>
      </w:r>
      <w:r>
        <w:br/>
      </w:r>
      <w:r>
        <w:rPr>
          <w:rFonts w:ascii="Times New Roman"/>
          <w:b w:val="false"/>
          <w:i w:val="false"/>
          <w:color w:val="000000"/>
          <w:sz w:val="28"/>
        </w:rPr>
        <w:t>
</w:t>
      </w:r>
      <w:r>
        <w:rPr>
          <w:rFonts w:ascii="Times New Roman"/>
          <w:b w:val="false"/>
          <w:i w:val="false"/>
          <w:color w:val="000000"/>
          <w:sz w:val="28"/>
        </w:rPr>
        <w:t>
      индекс доходности (profitability index, PI).</w:t>
      </w:r>
      <w:r>
        <w:br/>
      </w:r>
      <w:r>
        <w:rPr>
          <w:rFonts w:ascii="Times New Roman"/>
          <w:b w:val="false"/>
          <w:i w:val="false"/>
          <w:color w:val="000000"/>
          <w:sz w:val="28"/>
        </w:rPr>
        <w:t>
</w:t>
      </w:r>
      <w:r>
        <w:rPr>
          <w:rFonts w:ascii="Times New Roman"/>
          <w:b w:val="false"/>
          <w:i w:val="false"/>
          <w:color w:val="000000"/>
          <w:sz w:val="28"/>
        </w:rPr>
        <w:t>
      2. Простой срок окупаемости (payback period, PBP) – минимальный временной интервал от начала осуществления проекта (начала инвестиционной стадии), за который покрываются инвестиционные затраты. Рассчитывается по формуле:</w:t>
      </w:r>
    </w:p>
    <w:bookmarkEnd w:id="23"/>
    <w:p>
      <w:pPr>
        <w:spacing w:after="0"/>
        <w:ind w:left="0"/>
        <w:jc w:val="both"/>
      </w:pPr>
      <w:r>
        <w:drawing>
          <wp:inline distT="0" distB="0" distL="0" distR="0">
            <wp:extent cx="1587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609600"/>
                    </a:xfrm>
                    <a:prstGeom prst="rect">
                      <a:avLst/>
                    </a:prstGeom>
                  </pic:spPr>
                </pic:pic>
              </a:graphicData>
            </a:graphic>
          </wp:inline>
        </w:drawing>
      </w:r>
    </w:p>
    <w:bookmarkStart w:name="z106" w:id="24"/>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Io</w:t>
      </w:r>
      <w:r>
        <w:rPr>
          <w:rFonts w:ascii="Times New Roman"/>
          <w:b w:val="false"/>
          <w:i w:val="false"/>
          <w:color w:val="000000"/>
          <w:sz w:val="28"/>
        </w:rPr>
        <w:t xml:space="preserve"> – величина инвестиционных затрат в нулевой период;</w:t>
      </w:r>
      <w:r>
        <w:br/>
      </w:r>
      <w:r>
        <w:rPr>
          <w:rFonts w:ascii="Times New Roman"/>
          <w:b w:val="false"/>
          <w:i w:val="false"/>
          <w:color w:val="000000"/>
          <w:sz w:val="28"/>
        </w:rPr>
        <w:t>
</w:t>
      </w:r>
      <w:r>
        <w:rPr>
          <w:rFonts w:ascii="Times New Roman"/>
          <w:b w:val="false"/>
          <w:i w:val="false"/>
          <w:color w:val="000000"/>
          <w:sz w:val="28"/>
        </w:rPr>
        <w:t>
      n – число периодов;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CF</w:t>
      </w:r>
      <w:r>
        <w:rPr>
          <w:rFonts w:ascii="Times New Roman"/>
          <w:b w:val="false"/>
          <w:i/>
          <w:color w:val="000000"/>
          <w:sz w:val="28"/>
        </w:rPr>
        <w:t>t</w:t>
      </w:r>
      <w:r>
        <w:rPr>
          <w:rFonts w:ascii="Times New Roman"/>
          <w:b w:val="false"/>
          <w:i w:val="false"/>
          <w:color w:val="000000"/>
          <w:sz w:val="28"/>
        </w:rPr>
        <w:t xml:space="preserve"> – чистый денежный поток в период t.</w:t>
      </w:r>
      <w:r>
        <w:br/>
      </w:r>
      <w:r>
        <w:rPr>
          <w:rFonts w:ascii="Times New Roman"/>
          <w:b w:val="false"/>
          <w:i w:val="false"/>
          <w:color w:val="000000"/>
          <w:sz w:val="28"/>
        </w:rPr>
        <w:t>
</w:t>
      </w:r>
      <w:r>
        <w:rPr>
          <w:rFonts w:ascii="Times New Roman"/>
          <w:b w:val="false"/>
          <w:i w:val="false"/>
          <w:color w:val="000000"/>
          <w:sz w:val="28"/>
        </w:rPr>
        <w:t>
      Рекомендуемое значение РВР: проект считается эффективным, если значение РВР меньше длительности проекта.</w:t>
      </w:r>
      <w:r>
        <w:br/>
      </w:r>
      <w:r>
        <w:rPr>
          <w:rFonts w:ascii="Times New Roman"/>
          <w:b w:val="false"/>
          <w:i w:val="false"/>
          <w:color w:val="000000"/>
          <w:sz w:val="28"/>
        </w:rPr>
        <w:t>
</w:t>
      </w:r>
      <w:r>
        <w:rPr>
          <w:rFonts w:ascii="Times New Roman"/>
          <w:b w:val="false"/>
          <w:i w:val="false"/>
          <w:color w:val="000000"/>
          <w:sz w:val="28"/>
        </w:rPr>
        <w:t>
      3. Дисконтированный срок окупаемости (discounted payback period, DPP) - продолжительность наименьшего периода, по истечении которого текущий чистый дисконтированный доход становится и в дальнейшем остается неотрицательным. Рассчитывается по формуле:</w:t>
      </w:r>
    </w:p>
    <w:bookmarkEnd w:id="24"/>
    <w:p>
      <w:pPr>
        <w:spacing w:after="0"/>
        <w:ind w:left="0"/>
        <w:jc w:val="both"/>
      </w:pPr>
      <w:r>
        <w:drawing>
          <wp:inline distT="0" distB="0" distL="0" distR="0">
            <wp:extent cx="2070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825500"/>
                    </a:xfrm>
                    <a:prstGeom prst="rect">
                      <a:avLst/>
                    </a:prstGeom>
                  </pic:spPr>
                </pic:pic>
              </a:graphicData>
            </a:graphic>
          </wp:inline>
        </w:drawing>
      </w:r>
    </w:p>
    <w:bookmarkStart w:name="z112" w:id="25"/>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Io </w:t>
      </w:r>
      <w:r>
        <w:rPr>
          <w:rFonts w:ascii="Times New Roman"/>
          <w:b w:val="false"/>
          <w:i w:val="false"/>
          <w:color w:val="000000"/>
          <w:sz w:val="28"/>
        </w:rPr>
        <w:t>– величина инвестиционных затрат в нулевой период;</w:t>
      </w:r>
      <w:r>
        <w:br/>
      </w:r>
      <w:r>
        <w:rPr>
          <w:rFonts w:ascii="Times New Roman"/>
          <w:b w:val="false"/>
          <w:i w:val="false"/>
          <w:color w:val="000000"/>
          <w:sz w:val="28"/>
        </w:rPr>
        <w:t>
</w:t>
      </w:r>
      <w:r>
        <w:rPr>
          <w:rFonts w:ascii="Times New Roman"/>
          <w:b w:val="false"/>
          <w:i w:val="false"/>
          <w:color w:val="000000"/>
          <w:sz w:val="28"/>
        </w:rPr>
        <w:t>
      n – число периодов;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CF</w:t>
      </w:r>
      <w:r>
        <w:rPr>
          <w:rFonts w:ascii="Times New Roman"/>
          <w:b w:val="false"/>
          <w:i w:val="false"/>
          <w:color w:val="000000"/>
          <w:vertAlign w:val="subscript"/>
        </w:rPr>
        <w:t>t</w:t>
      </w:r>
      <w:r>
        <w:rPr>
          <w:rFonts w:ascii="Times New Roman"/>
          <w:b w:val="false"/>
          <w:i w:val="false"/>
          <w:color w:val="000000"/>
          <w:sz w:val="28"/>
        </w:rPr>
        <w:t xml:space="preserve"> – чистый денежный поток в период t.</w:t>
      </w:r>
      <w:r>
        <w:br/>
      </w:r>
      <w:r>
        <w:rPr>
          <w:rFonts w:ascii="Times New Roman"/>
          <w:b w:val="false"/>
          <w:i w:val="false"/>
          <w:color w:val="000000"/>
          <w:sz w:val="28"/>
        </w:rPr>
        <w:t>
</w:t>
      </w:r>
      <w:r>
        <w:rPr>
          <w:rFonts w:ascii="Times New Roman"/>
          <w:b w:val="false"/>
          <w:i w:val="false"/>
          <w:color w:val="000000"/>
          <w:sz w:val="28"/>
        </w:rPr>
        <w:t>
      r – ставка дисконтирования.</w:t>
      </w:r>
      <w:r>
        <w:br/>
      </w:r>
      <w:r>
        <w:rPr>
          <w:rFonts w:ascii="Times New Roman"/>
          <w:b w:val="false"/>
          <w:i w:val="false"/>
          <w:color w:val="000000"/>
          <w:sz w:val="28"/>
        </w:rPr>
        <w:t>
</w:t>
      </w:r>
      <w:r>
        <w:rPr>
          <w:rFonts w:ascii="Times New Roman"/>
          <w:b w:val="false"/>
          <w:i w:val="false"/>
          <w:color w:val="000000"/>
          <w:sz w:val="28"/>
        </w:rPr>
        <w:t>
      Ставка дисконтирования рассчитывается по формуле:</w:t>
      </w:r>
    </w:p>
    <w:bookmarkEnd w:id="25"/>
    <w:p>
      <w:pPr>
        <w:spacing w:after="0"/>
        <w:ind w:left="0"/>
        <w:jc w:val="both"/>
      </w:pPr>
      <w:r>
        <w:drawing>
          <wp:inline distT="0" distB="0" distL="0" distR="0">
            <wp:extent cx="1562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62100" cy="533400"/>
                    </a:xfrm>
                    <a:prstGeom prst="rect">
                      <a:avLst/>
                    </a:prstGeom>
                  </pic:spPr>
                </pic:pic>
              </a:graphicData>
            </a:graphic>
          </wp:inline>
        </w:drawing>
      </w:r>
    </w:p>
    <w:bookmarkStart w:name="z118" w:id="26"/>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Е – норма дисконта, которая будет являться единой для всех шагов расчета;</w:t>
      </w:r>
      <w:r>
        <w:br/>
      </w:r>
      <w:r>
        <w:rPr>
          <w:rFonts w:ascii="Times New Roman"/>
          <w:b w:val="false"/>
          <w:i w:val="false"/>
          <w:color w:val="000000"/>
          <w:sz w:val="28"/>
        </w:rPr>
        <w:t>
</w:t>
      </w:r>
      <w:r>
        <w:rPr>
          <w:rFonts w:ascii="Times New Roman"/>
          <w:b w:val="false"/>
          <w:i w:val="false"/>
          <w:color w:val="000000"/>
          <w:sz w:val="28"/>
        </w:rPr>
        <w:t>
      (n-1) – промежуток между оцениваемым периодом и моментом приведения (в годах).</w:t>
      </w:r>
      <w:r>
        <w:br/>
      </w:r>
      <w:r>
        <w:rPr>
          <w:rFonts w:ascii="Times New Roman"/>
          <w:b w:val="false"/>
          <w:i w:val="false"/>
          <w:color w:val="000000"/>
          <w:sz w:val="28"/>
        </w:rPr>
        <w:t>
</w:t>
      </w:r>
      <w:r>
        <w:rPr>
          <w:rFonts w:ascii="Times New Roman"/>
          <w:b w:val="false"/>
          <w:i w:val="false"/>
          <w:color w:val="000000"/>
          <w:sz w:val="28"/>
        </w:rPr>
        <w:t>
      Рекомендуемое значение DPP: проект считается приемлемым при меньшем значении DPP.</w:t>
      </w:r>
      <w:r>
        <w:br/>
      </w:r>
      <w:r>
        <w:rPr>
          <w:rFonts w:ascii="Times New Roman"/>
          <w:b w:val="false"/>
          <w:i w:val="false"/>
          <w:color w:val="000000"/>
          <w:sz w:val="28"/>
        </w:rPr>
        <w:t>
</w:t>
      </w:r>
      <w:r>
        <w:rPr>
          <w:rFonts w:ascii="Times New Roman"/>
          <w:b w:val="false"/>
          <w:i w:val="false"/>
          <w:color w:val="000000"/>
          <w:sz w:val="28"/>
        </w:rPr>
        <w:t>
      4. Чистый дисконтированный доход (net present value, NPV) - разность дисконтированных денежных потоков доходов и расходов, производимых в процессе реализации инвестиции за прогнозный период. Рассчитывается по формуле:</w:t>
      </w:r>
    </w:p>
    <w:bookmarkEnd w:id="26"/>
    <w:p>
      <w:pPr>
        <w:spacing w:after="0"/>
        <w:ind w:left="0"/>
        <w:jc w:val="both"/>
      </w:pPr>
      <w:r>
        <w:drawing>
          <wp:inline distT="0" distB="0" distL="0" distR="0">
            <wp:extent cx="2451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51100" cy="673100"/>
                    </a:xfrm>
                    <a:prstGeom prst="rect">
                      <a:avLst/>
                    </a:prstGeom>
                  </pic:spPr>
                </pic:pic>
              </a:graphicData>
            </a:graphic>
          </wp:inline>
        </w:drawing>
      </w:r>
    </w:p>
    <w:bookmarkStart w:name="z123" w:id="27"/>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n – число периодов;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CF</w:t>
      </w:r>
      <w:r>
        <w:rPr>
          <w:rFonts w:ascii="Times New Roman"/>
          <w:b w:val="false"/>
          <w:i w:val="false"/>
          <w:color w:val="000000"/>
          <w:vertAlign w:val="subscript"/>
        </w:rPr>
        <w:t>t</w:t>
      </w:r>
      <w:r>
        <w:rPr>
          <w:rFonts w:ascii="Times New Roman"/>
          <w:b w:val="false"/>
          <w:i w:val="false"/>
          <w:color w:val="000000"/>
          <w:sz w:val="28"/>
        </w:rPr>
        <w:t> – чистый денежный поток в период t;</w:t>
      </w:r>
      <w:r>
        <w:br/>
      </w:r>
      <w:r>
        <w:rPr>
          <w:rFonts w:ascii="Times New Roman"/>
          <w:b w:val="false"/>
          <w:i w:val="false"/>
          <w:color w:val="000000"/>
          <w:sz w:val="28"/>
        </w:rPr>
        <w:t>
</w:t>
      </w:r>
      <w:r>
        <w:rPr>
          <w:rFonts w:ascii="Times New Roman"/>
          <w:b w:val="false"/>
          <w:i w:val="false"/>
          <w:color w:val="000000"/>
          <w:sz w:val="28"/>
        </w:rPr>
        <w:t>
      r – ставка дисконтирования;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Io</w:t>
      </w:r>
      <w:r>
        <w:rPr>
          <w:rFonts w:ascii="Times New Roman"/>
          <w:b w:val="false"/>
          <w:i w:val="false"/>
          <w:color w:val="000000"/>
          <w:sz w:val="28"/>
        </w:rPr>
        <w:t xml:space="preserve"> – величина инвестиционных затрат в нулевой период.</w:t>
      </w:r>
      <w:r>
        <w:br/>
      </w:r>
      <w:r>
        <w:rPr>
          <w:rFonts w:ascii="Times New Roman"/>
          <w:b w:val="false"/>
          <w:i w:val="false"/>
          <w:color w:val="000000"/>
          <w:sz w:val="28"/>
        </w:rPr>
        <w:t>
</w:t>
      </w:r>
      <w:r>
        <w:rPr>
          <w:rFonts w:ascii="Times New Roman"/>
          <w:b w:val="false"/>
          <w:i w:val="false"/>
          <w:color w:val="000000"/>
          <w:sz w:val="28"/>
        </w:rPr>
        <w:t>
      Рекомендуемое значение NPV: при положительном значении NPV проект считается эффективным, при отрицательном значении NPV - проект отвергается, NPV = 0 - проект не принесет ни прибыли, ни убытка.</w:t>
      </w:r>
      <w:r>
        <w:br/>
      </w:r>
      <w:r>
        <w:rPr>
          <w:rFonts w:ascii="Times New Roman"/>
          <w:b w:val="false"/>
          <w:i w:val="false"/>
          <w:color w:val="000000"/>
          <w:sz w:val="28"/>
        </w:rPr>
        <w:t>
</w:t>
      </w:r>
      <w:r>
        <w:rPr>
          <w:rFonts w:ascii="Times New Roman"/>
          <w:b w:val="false"/>
          <w:i w:val="false"/>
          <w:color w:val="000000"/>
          <w:sz w:val="28"/>
        </w:rPr>
        <w:t>
      5. Внутренняя норма доходности (internal rate of return, IRR) - процентная ставка дисконтирования, которая обеспечит получение положительного (или, по крайней мере, нулевого) значения чистого приведенного дохода. Определяется из следующего соотношения:</w:t>
      </w:r>
    </w:p>
    <w:bookmarkEnd w:id="27"/>
    <w:p>
      <w:pPr>
        <w:spacing w:after="0"/>
        <w:ind w:left="0"/>
        <w:jc w:val="both"/>
      </w:pPr>
      <w:r>
        <w:drawing>
          <wp:inline distT="0" distB="0" distL="0" distR="0">
            <wp:extent cx="2501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01900" cy="723900"/>
                    </a:xfrm>
                    <a:prstGeom prst="rect">
                      <a:avLst/>
                    </a:prstGeom>
                  </pic:spPr>
                </pic:pic>
              </a:graphicData>
            </a:graphic>
          </wp:inline>
        </w:drawing>
      </w:r>
    </w:p>
    <w:bookmarkStart w:name="z131" w:id="28"/>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n – число периодов;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CF</w:t>
      </w:r>
      <w:r>
        <w:rPr>
          <w:rFonts w:ascii="Times New Roman"/>
          <w:b w:val="false"/>
          <w:i w:val="false"/>
          <w:color w:val="000000"/>
          <w:vertAlign w:val="subscript"/>
        </w:rPr>
        <w:t>t</w:t>
      </w:r>
      <w:r>
        <w:rPr>
          <w:rFonts w:ascii="Times New Roman"/>
          <w:b w:val="false"/>
          <w:i w:val="false"/>
          <w:color w:val="000000"/>
          <w:sz w:val="28"/>
        </w:rPr>
        <w:t> – чистый денежный поток в период 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Io </w:t>
      </w:r>
      <w:r>
        <w:rPr>
          <w:rFonts w:ascii="Times New Roman"/>
          <w:b w:val="false"/>
          <w:i w:val="false"/>
          <w:color w:val="000000"/>
          <w:sz w:val="28"/>
        </w:rPr>
        <w:t>– величина инвестиционных затрат в нулевой период.</w:t>
      </w:r>
      <w:r>
        <w:br/>
      </w:r>
      <w:r>
        <w:rPr>
          <w:rFonts w:ascii="Times New Roman"/>
          <w:b w:val="false"/>
          <w:i w:val="false"/>
          <w:color w:val="000000"/>
          <w:sz w:val="28"/>
        </w:rPr>
        <w:t>
</w:t>
      </w:r>
      <w:r>
        <w:rPr>
          <w:rFonts w:ascii="Times New Roman"/>
          <w:b w:val="false"/>
          <w:i w:val="false"/>
          <w:color w:val="000000"/>
          <w:sz w:val="28"/>
        </w:rPr>
        <w:t>
      Рекомендуемое значение IRR: проект считается приемлемым, если рассчитанное значение IRR не ниже требуемой нормы рентабельности, которая определяется инвестиционной политикой компании; при IRR, равном ставке дисконта, NPV равен нулю; IRR сравнивается с требуемой инвестором нормой дохода на капитал, которая должна быть больше, чем в случае безрискового вложения капитала.</w:t>
      </w:r>
      <w:r>
        <w:br/>
      </w:r>
      <w:r>
        <w:rPr>
          <w:rFonts w:ascii="Times New Roman"/>
          <w:b w:val="false"/>
          <w:i w:val="false"/>
          <w:color w:val="000000"/>
          <w:sz w:val="28"/>
        </w:rPr>
        <w:t>
</w:t>
      </w:r>
      <w:r>
        <w:rPr>
          <w:rFonts w:ascii="Times New Roman"/>
          <w:b w:val="false"/>
          <w:i w:val="false"/>
          <w:color w:val="000000"/>
          <w:sz w:val="28"/>
        </w:rPr>
        <w:t>
      6. Индекс доходности (profitability index, PI) - относительная отдача проекта на вложенные в него средства, который определяет сумму прибыли на единицу инвестированных средств. Рассчитывается по формуле:</w:t>
      </w:r>
    </w:p>
    <w:bookmarkEnd w:id="28"/>
    <w:p>
      <w:pPr>
        <w:spacing w:after="0"/>
        <w:ind w:left="0"/>
        <w:jc w:val="both"/>
      </w:pPr>
      <w:r>
        <w:drawing>
          <wp:inline distT="0" distB="0" distL="0" distR="0">
            <wp:extent cx="2032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0" cy="787400"/>
                    </a:xfrm>
                    <a:prstGeom prst="rect">
                      <a:avLst/>
                    </a:prstGeom>
                  </pic:spPr>
                </pic:pic>
              </a:graphicData>
            </a:graphic>
          </wp:inline>
        </w:drawing>
      </w:r>
    </w:p>
    <w:bookmarkStart w:name="z136" w:id="29"/>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n – длительность проекта;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CF</w:t>
      </w:r>
      <w:r>
        <w:rPr>
          <w:rFonts w:ascii="Times New Roman"/>
          <w:b w:val="false"/>
          <w:i w:val="false"/>
          <w:color w:val="000000"/>
          <w:vertAlign w:val="subscript"/>
        </w:rPr>
        <w:t>t</w:t>
      </w:r>
      <w:r>
        <w:rPr>
          <w:rFonts w:ascii="Times New Roman"/>
          <w:b w:val="false"/>
          <w:i w:val="false"/>
          <w:color w:val="000000"/>
          <w:sz w:val="28"/>
        </w:rPr>
        <w:t> – чистый денежный поток в период t;</w:t>
      </w:r>
      <w:r>
        <w:br/>
      </w:r>
      <w:r>
        <w:rPr>
          <w:rFonts w:ascii="Times New Roman"/>
          <w:b w:val="false"/>
          <w:i w:val="false"/>
          <w:color w:val="000000"/>
          <w:sz w:val="28"/>
        </w:rPr>
        <w:t>
</w:t>
      </w:r>
      <w:r>
        <w:rPr>
          <w:rFonts w:ascii="Times New Roman"/>
          <w:b w:val="false"/>
          <w:i w:val="false"/>
          <w:color w:val="000000"/>
          <w:sz w:val="28"/>
        </w:rPr>
        <w:t>
      r – ставка дисконтирования;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Io </w:t>
      </w:r>
      <w:r>
        <w:rPr>
          <w:rFonts w:ascii="Times New Roman"/>
          <w:b w:val="false"/>
          <w:i w:val="false"/>
          <w:color w:val="000000"/>
          <w:sz w:val="28"/>
        </w:rPr>
        <w:t>– величина инвестиционных затрат в нулевой период.</w:t>
      </w:r>
      <w:r>
        <w:br/>
      </w:r>
      <w:r>
        <w:rPr>
          <w:rFonts w:ascii="Times New Roman"/>
          <w:b w:val="false"/>
          <w:i w:val="false"/>
          <w:color w:val="000000"/>
          <w:sz w:val="28"/>
        </w:rPr>
        <w:t>
</w:t>
      </w:r>
      <w:r>
        <w:rPr>
          <w:rFonts w:ascii="Times New Roman"/>
          <w:b w:val="false"/>
          <w:i w:val="false"/>
          <w:color w:val="000000"/>
          <w:sz w:val="28"/>
        </w:rPr>
        <w:t>
      Рекомендуемое значение PI: для эффективного проекта PI должен быть больше 1.</w:t>
      </w:r>
    </w:p>
    <w:bookmarkEnd w:id="29"/>
    <w:bookmarkStart w:name="z142" w:id="30"/>
    <w:p>
      <w:pPr>
        <w:spacing w:after="0"/>
        <w:ind w:left="0"/>
        <w:jc w:val="left"/>
      </w:pPr>
      <w:r>
        <w:rPr>
          <w:rFonts w:ascii="Times New Roman"/>
          <w:b/>
          <w:i w:val="false"/>
          <w:color w:val="000000"/>
        </w:rPr>
        <w:t xml:space="preserve"> 
2. Анализ заемщика (специализированной организации)</w:t>
      </w:r>
    </w:p>
    <w:bookmarkEnd w:id="30"/>
    <w:bookmarkStart w:name="z143" w:id="31"/>
    <w:p>
      <w:pPr>
        <w:spacing w:after="0"/>
        <w:ind w:left="0"/>
        <w:jc w:val="both"/>
      </w:pPr>
      <w:r>
        <w:rPr>
          <w:rFonts w:ascii="Times New Roman"/>
          <w:b w:val="false"/>
          <w:i w:val="false"/>
          <w:color w:val="000000"/>
          <w:sz w:val="28"/>
        </w:rPr>
        <w:t>
      7. В целях определения целесообразности бюджетного кредитования заемщика (специализированной организации) (далее - Компания) проводится анализ финансовой отчетности специализированной организации. Для этого проводятся следующие виды анализа финансовой отчетности:</w:t>
      </w:r>
      <w:r>
        <w:br/>
      </w:r>
      <w:r>
        <w:rPr>
          <w:rFonts w:ascii="Times New Roman"/>
          <w:b w:val="false"/>
          <w:i w:val="false"/>
          <w:color w:val="000000"/>
          <w:sz w:val="28"/>
        </w:rPr>
        <w:t>
</w:t>
      </w:r>
      <w:r>
        <w:rPr>
          <w:rFonts w:ascii="Times New Roman"/>
          <w:b w:val="false"/>
          <w:i w:val="false"/>
          <w:color w:val="000000"/>
          <w:sz w:val="28"/>
        </w:rPr>
        <w:t>
      вертикальный анализ (vertical analysis);</w:t>
      </w:r>
      <w:r>
        <w:br/>
      </w:r>
      <w:r>
        <w:rPr>
          <w:rFonts w:ascii="Times New Roman"/>
          <w:b w:val="false"/>
          <w:i w:val="false"/>
          <w:color w:val="000000"/>
          <w:sz w:val="28"/>
        </w:rPr>
        <w:t>
</w:t>
      </w:r>
      <w:r>
        <w:rPr>
          <w:rFonts w:ascii="Times New Roman"/>
          <w:b w:val="false"/>
          <w:i w:val="false"/>
          <w:color w:val="000000"/>
          <w:sz w:val="28"/>
        </w:rPr>
        <w:t>
      горизонтальный анализ (horizontal analysis);</w:t>
      </w:r>
      <w:r>
        <w:br/>
      </w:r>
      <w:r>
        <w:rPr>
          <w:rFonts w:ascii="Times New Roman"/>
          <w:b w:val="false"/>
          <w:i w:val="false"/>
          <w:color w:val="000000"/>
          <w:sz w:val="28"/>
        </w:rPr>
        <w:t>
</w:t>
      </w:r>
      <w:r>
        <w:rPr>
          <w:rFonts w:ascii="Times New Roman"/>
          <w:b w:val="false"/>
          <w:i w:val="false"/>
          <w:color w:val="000000"/>
          <w:sz w:val="28"/>
        </w:rPr>
        <w:t>
      коэффициентный анализ (coefficient analysis).</w:t>
      </w:r>
      <w:r>
        <w:br/>
      </w:r>
      <w:r>
        <w:rPr>
          <w:rFonts w:ascii="Times New Roman"/>
          <w:b w:val="false"/>
          <w:i w:val="false"/>
          <w:color w:val="000000"/>
          <w:sz w:val="28"/>
        </w:rPr>
        <w:t>
</w:t>
      </w:r>
      <w:r>
        <w:rPr>
          <w:rFonts w:ascii="Times New Roman"/>
          <w:b w:val="false"/>
          <w:i w:val="false"/>
          <w:color w:val="000000"/>
          <w:sz w:val="28"/>
        </w:rPr>
        <w:t>
      8. Цель горизонтального и вертикального анализа финансовой отчетности состоит в представлении изменений, произошедших в основных статьях бухгалтерского баланса, отчета о доходах и расходах, отчета о движении денежных средств.</w:t>
      </w:r>
      <w:r>
        <w:br/>
      </w:r>
      <w:r>
        <w:rPr>
          <w:rFonts w:ascii="Times New Roman"/>
          <w:b w:val="false"/>
          <w:i w:val="false"/>
          <w:color w:val="000000"/>
          <w:sz w:val="28"/>
        </w:rPr>
        <w:t>
</w:t>
      </w:r>
      <w:r>
        <w:rPr>
          <w:rFonts w:ascii="Times New Roman"/>
          <w:b w:val="false"/>
          <w:i w:val="false"/>
          <w:color w:val="000000"/>
          <w:sz w:val="28"/>
        </w:rPr>
        <w:t>
      Горизонтальный (временной) анализ заключается в сопоставлении данных Компании за два последних отчетных периода в относительном и абсолютном виде и выявлении тенденций изменения отдельных статей отчетности или их групп. Горизонтальный анализ проводится по следующим формам финансовой отчетности,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августа 2010 года № 422 (зарегистрированный в Реестре государственной регистрации нормативных правовых актов за № 6452) (далее – Приказ Министерства финансов): «Бухгалтерский баланс», «Отчет о прибылях и убытках» и «Отчет о движении денежных средств».</w:t>
      </w:r>
      <w:r>
        <w:br/>
      </w:r>
      <w:r>
        <w:rPr>
          <w:rFonts w:ascii="Times New Roman"/>
          <w:b w:val="false"/>
          <w:i w:val="false"/>
          <w:color w:val="000000"/>
          <w:sz w:val="28"/>
        </w:rPr>
        <w:t>
</w:t>
      </w:r>
      <w:r>
        <w:rPr>
          <w:rFonts w:ascii="Times New Roman"/>
          <w:b w:val="false"/>
          <w:i w:val="false"/>
          <w:color w:val="000000"/>
          <w:sz w:val="28"/>
        </w:rPr>
        <w:t>
      Вертикальный (структурный) анализ заключается в определении удельного веса отдельных статей отчетности в общем итоговом показателе и сравнении полученного результата с данными предыдущего периода. Вертикальный анализ проводится по следующим формам финансовой отчетности, утвержденным Приказом Министра финансов: «Бухгалтерский баланс» и «Отчет о прибылях и убытках».</w:t>
      </w:r>
      <w:r>
        <w:br/>
      </w:r>
      <w:r>
        <w:rPr>
          <w:rFonts w:ascii="Times New Roman"/>
          <w:b w:val="false"/>
          <w:i w:val="false"/>
          <w:color w:val="000000"/>
          <w:sz w:val="28"/>
        </w:rPr>
        <w:t>
</w:t>
      </w:r>
      <w:r>
        <w:rPr>
          <w:rFonts w:ascii="Times New Roman"/>
          <w:b w:val="false"/>
          <w:i w:val="false"/>
          <w:color w:val="000000"/>
          <w:sz w:val="28"/>
        </w:rPr>
        <w:t>
      9. Коэффициентный анализ заключается в изучении финансовой отчетности Компании при помощи набора финансовых показателей (коэффициентов) на предмет соответствия (отклонения) от нормативных значений таких коэффициентов и их изменений в динамике.</w:t>
      </w:r>
      <w:r>
        <w:br/>
      </w:r>
      <w:r>
        <w:rPr>
          <w:rFonts w:ascii="Times New Roman"/>
          <w:b w:val="false"/>
          <w:i w:val="false"/>
          <w:color w:val="000000"/>
          <w:sz w:val="28"/>
        </w:rPr>
        <w:t>
</w:t>
      </w:r>
      <w:r>
        <w:rPr>
          <w:rFonts w:ascii="Times New Roman"/>
          <w:b w:val="false"/>
          <w:i w:val="false"/>
          <w:color w:val="000000"/>
          <w:sz w:val="28"/>
        </w:rPr>
        <w:t>
      Для проведения коэффициентного анализа принимаются данные из всех форм финансовой отчетности Компании.</w:t>
      </w:r>
      <w:r>
        <w:br/>
      </w:r>
      <w:r>
        <w:rPr>
          <w:rFonts w:ascii="Times New Roman"/>
          <w:b w:val="false"/>
          <w:i w:val="false"/>
          <w:color w:val="000000"/>
          <w:sz w:val="28"/>
        </w:rPr>
        <w:t>
</w:t>
      </w:r>
      <w:r>
        <w:rPr>
          <w:rFonts w:ascii="Times New Roman"/>
          <w:b w:val="false"/>
          <w:i w:val="false"/>
          <w:color w:val="000000"/>
          <w:sz w:val="28"/>
        </w:rPr>
        <w:t>
      10. Коэффициенты ликвидности – финансовые показатели, рассчитываемые для определения способности Компании погашать текущую задолженность за счет имеющихся текущих (оборотных) активов. При этом проводится сравнение величины текущих задолженностей Компании и ее оборотных средств, которые должны обеспечить погашение этих задолженностей.</w:t>
      </w:r>
      <w:r>
        <w:br/>
      </w:r>
      <w:r>
        <w:rPr>
          <w:rFonts w:ascii="Times New Roman"/>
          <w:b w:val="false"/>
          <w:i w:val="false"/>
          <w:color w:val="000000"/>
          <w:sz w:val="28"/>
        </w:rPr>
        <w:t>
</w:t>
      </w:r>
      <w:r>
        <w:rPr>
          <w:rFonts w:ascii="Times New Roman"/>
          <w:b w:val="false"/>
          <w:i w:val="false"/>
          <w:color w:val="000000"/>
          <w:sz w:val="28"/>
        </w:rPr>
        <w:t>
      Коэффициент текущей ликвидности (current ratio, CR) характеризует текущую способность Компании выполнить краткосрочные обязательства за счет имеющихся оборотных средств. Рассчитывается по формуле:</w:t>
      </w:r>
    </w:p>
    <w:bookmarkEnd w:id="31"/>
    <w:p>
      <w:pPr>
        <w:spacing w:after="0"/>
        <w:ind w:left="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52500" cy="546100"/>
                    </a:xfrm>
                    <a:prstGeom prst="rect">
                      <a:avLst/>
                    </a:prstGeom>
                  </pic:spPr>
                </pic:pic>
              </a:graphicData>
            </a:graphic>
          </wp:inline>
        </w:drawing>
      </w:r>
    </w:p>
    <w:bookmarkStart w:name="z154" w:id="32"/>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CA – текущие активы;</w:t>
      </w:r>
      <w:r>
        <w:br/>
      </w:r>
      <w:r>
        <w:rPr>
          <w:rFonts w:ascii="Times New Roman"/>
          <w:b w:val="false"/>
          <w:i w:val="false"/>
          <w:color w:val="000000"/>
          <w:sz w:val="28"/>
        </w:rPr>
        <w:t>
</w:t>
      </w:r>
      <w:r>
        <w:rPr>
          <w:rFonts w:ascii="Times New Roman"/>
          <w:b w:val="false"/>
          <w:i w:val="false"/>
          <w:color w:val="000000"/>
          <w:sz w:val="28"/>
        </w:rPr>
        <w:t>
      CL – текущие обязательства.</w:t>
      </w:r>
      <w:r>
        <w:br/>
      </w:r>
      <w:r>
        <w:rPr>
          <w:rFonts w:ascii="Times New Roman"/>
          <w:b w:val="false"/>
          <w:i w:val="false"/>
          <w:color w:val="000000"/>
          <w:sz w:val="28"/>
        </w:rPr>
        <w:t>
</w:t>
      </w:r>
      <w:r>
        <w:rPr>
          <w:rFonts w:ascii="Times New Roman"/>
          <w:b w:val="false"/>
          <w:i w:val="false"/>
          <w:color w:val="000000"/>
          <w:sz w:val="28"/>
        </w:rPr>
        <w:t>
      Рекомендуемое значение CR: 1 – 2. Значение &lt;1 свидетельствует о возможной утрате платежеспособности, значение &gt;4 – о недостаточной активности использования заемных средств и, как следствие, меньшее значение рентабельности собственного капитала.</w:t>
      </w:r>
      <w:r>
        <w:br/>
      </w:r>
      <w:r>
        <w:rPr>
          <w:rFonts w:ascii="Times New Roman"/>
          <w:b w:val="false"/>
          <w:i w:val="false"/>
          <w:color w:val="000000"/>
          <w:sz w:val="28"/>
        </w:rPr>
        <w:t>
</w:t>
      </w:r>
      <w:r>
        <w:rPr>
          <w:rFonts w:ascii="Times New Roman"/>
          <w:b w:val="false"/>
          <w:i w:val="false"/>
          <w:color w:val="000000"/>
          <w:sz w:val="28"/>
        </w:rPr>
        <w:t>
      11. Коэффициент обеспеченности собственными средствами (Own Funds Ratio, OFR) характеризует наличие собственных оборотных средств у Компании, необходимых для обеспечения его финансовой устойчивости. Рассчитывается по формуле:</w:t>
      </w:r>
    </w:p>
    <w:bookmarkEnd w:id="32"/>
    <w:p>
      <w:pPr>
        <w:spacing w:after="0"/>
        <w:ind w:left="0"/>
        <w:jc w:val="both"/>
      </w:pPr>
      <w:r>
        <w:drawing>
          <wp:inline distT="0" distB="0" distL="0" distR="0">
            <wp:extent cx="1676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76400" cy="546100"/>
                    </a:xfrm>
                    <a:prstGeom prst="rect">
                      <a:avLst/>
                    </a:prstGeom>
                  </pic:spPr>
                </pic:pic>
              </a:graphicData>
            </a:graphic>
          </wp:inline>
        </w:drawing>
      </w:r>
    </w:p>
    <w:bookmarkStart w:name="z159" w:id="33"/>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ЕС – собственный капитал;</w:t>
      </w:r>
      <w:r>
        <w:br/>
      </w:r>
      <w:r>
        <w:rPr>
          <w:rFonts w:ascii="Times New Roman"/>
          <w:b w:val="false"/>
          <w:i w:val="false"/>
          <w:color w:val="000000"/>
          <w:sz w:val="28"/>
        </w:rPr>
        <w:t>
</w:t>
      </w:r>
      <w:r>
        <w:rPr>
          <w:rFonts w:ascii="Times New Roman"/>
          <w:b w:val="false"/>
          <w:i w:val="false"/>
          <w:color w:val="000000"/>
          <w:sz w:val="28"/>
        </w:rPr>
        <w:t>
      FА – внеоборотные активы;</w:t>
      </w:r>
      <w:r>
        <w:br/>
      </w:r>
      <w:r>
        <w:rPr>
          <w:rFonts w:ascii="Times New Roman"/>
          <w:b w:val="false"/>
          <w:i w:val="false"/>
          <w:color w:val="000000"/>
          <w:sz w:val="28"/>
        </w:rPr>
        <w:t>
</w:t>
      </w:r>
      <w:r>
        <w:rPr>
          <w:rFonts w:ascii="Times New Roman"/>
          <w:b w:val="false"/>
          <w:i w:val="false"/>
          <w:color w:val="000000"/>
          <w:sz w:val="28"/>
        </w:rPr>
        <w:t>
      СА – текущие активы.</w:t>
      </w:r>
      <w:r>
        <w:br/>
      </w:r>
      <w:r>
        <w:rPr>
          <w:rFonts w:ascii="Times New Roman"/>
          <w:b w:val="false"/>
          <w:i w:val="false"/>
          <w:color w:val="000000"/>
          <w:sz w:val="28"/>
        </w:rPr>
        <w:t>
</w:t>
      </w:r>
      <w:r>
        <w:rPr>
          <w:rFonts w:ascii="Times New Roman"/>
          <w:b w:val="false"/>
          <w:i w:val="false"/>
          <w:color w:val="000000"/>
          <w:sz w:val="28"/>
        </w:rPr>
        <w:t>
      Рекомендуемое значение OFR: &gt;0,1. Структура баланса Компании признается неудовлетворительной, а компания неплатежеспособной, если коэффициент на конец отчетного периода имеет значение &lt;0,1.</w:t>
      </w:r>
      <w:r>
        <w:br/>
      </w:r>
      <w:r>
        <w:rPr>
          <w:rFonts w:ascii="Times New Roman"/>
          <w:b w:val="false"/>
          <w:i w:val="false"/>
          <w:color w:val="000000"/>
          <w:sz w:val="28"/>
        </w:rPr>
        <w:t>
</w:t>
      </w:r>
      <w:r>
        <w:rPr>
          <w:rFonts w:ascii="Times New Roman"/>
          <w:b w:val="false"/>
          <w:i w:val="false"/>
          <w:color w:val="000000"/>
          <w:sz w:val="28"/>
        </w:rPr>
        <w:t>
      12. Коэффициенты рентабельности – предназначены для оценки общей эффективности вложения средств в Компанию и характеризуют уровень отдачи от затрат и степень использования средств.</w:t>
      </w:r>
      <w:r>
        <w:br/>
      </w:r>
      <w:r>
        <w:rPr>
          <w:rFonts w:ascii="Times New Roman"/>
          <w:b w:val="false"/>
          <w:i w:val="false"/>
          <w:color w:val="000000"/>
          <w:sz w:val="28"/>
        </w:rPr>
        <w:t>
</w:t>
      </w:r>
      <w:r>
        <w:rPr>
          <w:rFonts w:ascii="Times New Roman"/>
          <w:b w:val="false"/>
          <w:i w:val="false"/>
          <w:color w:val="000000"/>
          <w:sz w:val="28"/>
        </w:rPr>
        <w:t>
      13. Коэффициент рентабельности активов (return on assets, ROA) свидетельствует о том, сколько чистой прибыли приходится на каждый тенге, вложенный в активы Компании. Рассчитывается по формуле:</w:t>
      </w:r>
    </w:p>
    <w:bookmarkEnd w:id="33"/>
    <w:p>
      <w:pPr>
        <w:spacing w:after="0"/>
        <w:ind w:left="0"/>
        <w:jc w:val="both"/>
      </w:pPr>
      <w:r>
        <w:drawing>
          <wp:inline distT="0" distB="0" distL="0" distR="0">
            <wp:extent cx="189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92300" cy="546100"/>
                    </a:xfrm>
                    <a:prstGeom prst="rect">
                      <a:avLst/>
                    </a:prstGeom>
                  </pic:spPr>
                </pic:pic>
              </a:graphicData>
            </a:graphic>
          </wp:inline>
        </w:drawing>
      </w:r>
    </w:p>
    <w:bookmarkStart w:name="z166" w:id="34"/>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NI – чистая прибыль;</w:t>
      </w:r>
      <w:r>
        <w:br/>
      </w:r>
      <w:r>
        <w:rPr>
          <w:rFonts w:ascii="Times New Roman"/>
          <w:b w:val="false"/>
          <w:i w:val="false"/>
          <w:color w:val="000000"/>
          <w:sz w:val="28"/>
        </w:rPr>
        <w:t>
</w:t>
      </w:r>
      <w:r>
        <w:rPr>
          <w:rFonts w:ascii="Times New Roman"/>
          <w:b w:val="false"/>
          <w:i w:val="false"/>
          <w:color w:val="000000"/>
          <w:sz w:val="28"/>
        </w:rPr>
        <w:t>
      TA – среднегодовая сумма активов.</w:t>
      </w:r>
      <w:r>
        <w:br/>
      </w:r>
      <w:r>
        <w:rPr>
          <w:rFonts w:ascii="Times New Roman"/>
          <w:b w:val="false"/>
          <w:i w:val="false"/>
          <w:color w:val="000000"/>
          <w:sz w:val="28"/>
        </w:rPr>
        <w:t>
</w:t>
      </w:r>
      <w:r>
        <w:rPr>
          <w:rFonts w:ascii="Times New Roman"/>
          <w:b w:val="false"/>
          <w:i w:val="false"/>
          <w:color w:val="000000"/>
          <w:sz w:val="28"/>
        </w:rPr>
        <w:t>
      Рекомендуемое значение 
</w:t>
      </w:r>
      <w:r>
        <w:rPr>
          <w:rFonts w:ascii="Times New Roman"/>
          <w:b w:val="false"/>
          <w:i w:val="false"/>
          <w:color w:val="000000"/>
          <w:sz w:val="28"/>
        </w:rPr>
        <w:t>
</w:t>
      </w:r>
      <w:r>
        <w:rPr>
          <w:rFonts w:ascii="Times New Roman"/>
          <w:b w:val="false"/>
          <w:i/>
          <w:color w:val="000000"/>
          <w:sz w:val="28"/>
        </w:rPr>
        <w:t>ROA</w:t>
      </w:r>
      <w:r>
        <w:rPr>
          <w:rFonts w:ascii="Times New Roman"/>
          <w:b w:val="false"/>
          <w:i w:val="false"/>
          <w:color w:val="000000"/>
          <w:sz w:val="28"/>
        </w:rPr>
        <w:t>
</w:t>
      </w:r>
      <w:r>
        <w:rPr>
          <w:rFonts w:ascii="Times New Roman"/>
          <w:b w:val="false"/>
          <w:i w:val="false"/>
          <w:color w:val="000000"/>
          <w:sz w:val="28"/>
        </w:rPr>
        <w:t>
 : повышающееся значение показателя (в динамике) свидетельствует о способности активов компании порождать прибыль.</w:t>
      </w:r>
      <w:r>
        <w:br/>
      </w:r>
      <w:r>
        <w:rPr>
          <w:rFonts w:ascii="Times New Roman"/>
          <w:b w:val="false"/>
          <w:i w:val="false"/>
          <w:color w:val="000000"/>
          <w:sz w:val="28"/>
        </w:rPr>
        <w:t>
</w:t>
      </w:r>
      <w:r>
        <w:rPr>
          <w:rFonts w:ascii="Times New Roman"/>
          <w:b w:val="false"/>
          <w:i w:val="false"/>
          <w:color w:val="000000"/>
          <w:sz w:val="28"/>
        </w:rPr>
        <w:t>
      14. Коэффициент рентабельности собственного капитала (return on equity, 
</w:t>
      </w:r>
      <w:r>
        <w:rPr>
          <w:rFonts w:ascii="Times New Roman"/>
          <w:b w:val="false"/>
          <w:i w:val="false"/>
          <w:color w:val="000000"/>
          <w:sz w:val="28"/>
        </w:rPr>
        <w:t>
</w:t>
      </w:r>
      <w:r>
        <w:rPr>
          <w:rFonts w:ascii="Times New Roman"/>
          <w:b w:val="false"/>
          <w:i/>
          <w:color w:val="000000"/>
          <w:sz w:val="28"/>
        </w:rPr>
        <w:t>ROE</w:t>
      </w:r>
      <w:r>
        <w:rPr>
          <w:rFonts w:ascii="Times New Roman"/>
          <w:b w:val="false"/>
          <w:i w:val="false"/>
          <w:color w:val="000000"/>
          <w:sz w:val="28"/>
        </w:rPr>
        <w:t>
</w:t>
      </w:r>
      <w:r>
        <w:rPr>
          <w:rFonts w:ascii="Times New Roman"/>
          <w:b w:val="false"/>
          <w:i w:val="false"/>
          <w:color w:val="000000"/>
          <w:sz w:val="28"/>
        </w:rPr>
        <w:t>
 ) показывает сколько Компания имеет чистой прибыли с единицы собственного капитала. Рассчитывается по формуле:</w:t>
      </w:r>
    </w:p>
    <w:bookmarkEnd w:id="34"/>
    <w:p>
      <w:pPr>
        <w:spacing w:after="0"/>
        <w:ind w:left="0"/>
        <w:jc w:val="both"/>
      </w:pPr>
      <w:r>
        <w:drawing>
          <wp:inline distT="0" distB="0" distL="0" distR="0">
            <wp:extent cx="1917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17700" cy="546100"/>
                    </a:xfrm>
                    <a:prstGeom prst="rect">
                      <a:avLst/>
                    </a:prstGeom>
                  </pic:spPr>
                </pic:pic>
              </a:graphicData>
            </a:graphic>
          </wp:inline>
        </w:drawing>
      </w:r>
    </w:p>
    <w:bookmarkStart w:name="z175" w:id="35"/>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NI – чистая прибыль;</w:t>
      </w:r>
      <w:r>
        <w:br/>
      </w:r>
      <w:r>
        <w:rPr>
          <w:rFonts w:ascii="Times New Roman"/>
          <w:b w:val="false"/>
          <w:i w:val="false"/>
          <w:color w:val="000000"/>
          <w:sz w:val="28"/>
        </w:rPr>
        <w:t>
</w:t>
      </w:r>
      <w:r>
        <w:rPr>
          <w:rFonts w:ascii="Times New Roman"/>
          <w:b w:val="false"/>
          <w:i w:val="false"/>
          <w:color w:val="000000"/>
          <w:sz w:val="28"/>
        </w:rPr>
        <w:t>
      EC – среднегодовая сумма собственного капитала.</w:t>
      </w:r>
      <w:r>
        <w:br/>
      </w:r>
      <w:r>
        <w:rPr>
          <w:rFonts w:ascii="Times New Roman"/>
          <w:b w:val="false"/>
          <w:i w:val="false"/>
          <w:color w:val="000000"/>
          <w:sz w:val="28"/>
        </w:rPr>
        <w:t>
</w:t>
      </w:r>
      <w:r>
        <w:rPr>
          <w:rFonts w:ascii="Times New Roman"/>
          <w:b w:val="false"/>
          <w:i w:val="false"/>
          <w:color w:val="000000"/>
          <w:sz w:val="28"/>
        </w:rPr>
        <w:t>
      Рекомендуемое значение 
</w:t>
      </w:r>
      <w:r>
        <w:rPr>
          <w:rFonts w:ascii="Times New Roman"/>
          <w:b w:val="false"/>
          <w:i w:val="false"/>
          <w:color w:val="000000"/>
          <w:sz w:val="28"/>
        </w:rPr>
        <w:t>
</w:t>
      </w:r>
      <w:r>
        <w:rPr>
          <w:rFonts w:ascii="Times New Roman"/>
          <w:b w:val="false"/>
          <w:i/>
          <w:color w:val="000000"/>
          <w:sz w:val="28"/>
        </w:rPr>
        <w:t>ROE</w:t>
      </w:r>
      <w:r>
        <w:rPr>
          <w:rFonts w:ascii="Times New Roman"/>
          <w:b w:val="false"/>
          <w:i w:val="false"/>
          <w:color w:val="000000"/>
          <w:sz w:val="28"/>
        </w:rPr>
        <w:t>
</w:t>
      </w:r>
      <w:r>
        <w:rPr>
          <w:rFonts w:ascii="Times New Roman"/>
          <w:b w:val="false"/>
          <w:i w:val="false"/>
          <w:color w:val="000000"/>
          <w:sz w:val="28"/>
        </w:rPr>
        <w:t>
 : различны в зависимости от отрасли, вместе с тем, высокое значение коэффициента оценивается положительно, поскольку свидетельствует о чистой прибыли, приходящейся на каждый тенге, авансированный в капитал.</w:t>
      </w:r>
      <w:r>
        <w:br/>
      </w:r>
      <w:r>
        <w:rPr>
          <w:rFonts w:ascii="Times New Roman"/>
          <w:b w:val="false"/>
          <w:i w:val="false"/>
          <w:color w:val="000000"/>
          <w:sz w:val="28"/>
        </w:rPr>
        <w:t>
</w:t>
      </w:r>
      <w:r>
        <w:rPr>
          <w:rFonts w:ascii="Times New Roman"/>
          <w:b w:val="false"/>
          <w:i w:val="false"/>
          <w:color w:val="000000"/>
          <w:sz w:val="28"/>
        </w:rPr>
        <w:t>
      15. Коэффициент рентабельности заемного капитала, эффект финансового рычага (degree of financial leverage, DFL) характеризует эффективность использования заемного капитала. Рассчитывается по формуле:</w:t>
      </w:r>
    </w:p>
    <w:bookmarkEnd w:id="35"/>
    <w:p>
      <w:pPr>
        <w:spacing w:after="0"/>
        <w:ind w:left="0"/>
        <w:jc w:val="both"/>
      </w:pPr>
      <w:r>
        <w:drawing>
          <wp:inline distT="0" distB="0" distL="0" distR="0">
            <wp:extent cx="554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549900" cy="381000"/>
                    </a:xfrm>
                    <a:prstGeom prst="rect">
                      <a:avLst/>
                    </a:prstGeom>
                  </pic:spPr>
                </pic:pic>
              </a:graphicData>
            </a:graphic>
          </wp:inline>
        </w:drawing>
      </w:r>
    </w:p>
    <w:bookmarkStart w:name="z182" w:id="36"/>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ROA</w:t>
      </w:r>
      <w:r>
        <w:rPr>
          <w:rFonts w:ascii="Times New Roman"/>
          <w:b w:val="false"/>
          <w:i w:val="false"/>
          <w:color w:val="000000"/>
          <w:vertAlign w:val="subscript"/>
        </w:rPr>
        <w:t>EBIT</w:t>
      </w:r>
      <w:r>
        <w:rPr>
          <w:rFonts w:ascii="Times New Roman"/>
          <w:b w:val="false"/>
          <w:i w:val="false"/>
          <w:color w:val="000000"/>
          <w:sz w:val="28"/>
        </w:rPr>
        <w:t xml:space="preserve"> – рентабельность активов по EBIT;</w:t>
      </w:r>
      <w:r>
        <w:br/>
      </w:r>
      <w:r>
        <w:rPr>
          <w:rFonts w:ascii="Times New Roman"/>
          <w:b w:val="false"/>
          <w:i w:val="false"/>
          <w:color w:val="000000"/>
          <w:sz w:val="28"/>
        </w:rPr>
        <w:t>
</w:t>
      </w:r>
      <w:r>
        <w:rPr>
          <w:rFonts w:ascii="Times New Roman"/>
          <w:b w:val="false"/>
          <w:i w:val="false"/>
          <w:color w:val="000000"/>
          <w:sz w:val="28"/>
        </w:rPr>
        <w:t>
      WACLP – средневзвешенная цена заемного капитала (средний размер ставки процентов за кредит);</w:t>
      </w:r>
      <w:r>
        <w:br/>
      </w:r>
      <w:r>
        <w:rPr>
          <w:rFonts w:ascii="Times New Roman"/>
          <w:b w:val="false"/>
          <w:i w:val="false"/>
          <w:color w:val="000000"/>
          <w:sz w:val="28"/>
        </w:rPr>
        <w:t>
</w:t>
      </w:r>
      <w:r>
        <w:rPr>
          <w:rFonts w:ascii="Times New Roman"/>
          <w:b w:val="false"/>
          <w:i w:val="false"/>
          <w:color w:val="000000"/>
          <w:sz w:val="28"/>
        </w:rPr>
        <w:t>
      TRP – ставка налога на прибыль;</w:t>
      </w:r>
      <w:r>
        <w:br/>
      </w:r>
      <w:r>
        <w:rPr>
          <w:rFonts w:ascii="Times New Roman"/>
          <w:b w:val="false"/>
          <w:i w:val="false"/>
          <w:color w:val="000000"/>
          <w:sz w:val="28"/>
        </w:rPr>
        <w:t>
</w:t>
      </w:r>
      <w:r>
        <w:rPr>
          <w:rFonts w:ascii="Times New Roman"/>
          <w:b w:val="false"/>
          <w:i w:val="false"/>
          <w:color w:val="000000"/>
          <w:sz w:val="28"/>
        </w:rPr>
        <w:t>
      LC – средняя сумма заемного капитала;</w:t>
      </w:r>
      <w:r>
        <w:br/>
      </w:r>
      <w:r>
        <w:rPr>
          <w:rFonts w:ascii="Times New Roman"/>
          <w:b w:val="false"/>
          <w:i w:val="false"/>
          <w:color w:val="000000"/>
          <w:sz w:val="28"/>
        </w:rPr>
        <w:t>
</w:t>
      </w:r>
      <w:r>
        <w:rPr>
          <w:rFonts w:ascii="Times New Roman"/>
          <w:b w:val="false"/>
          <w:i w:val="false"/>
          <w:color w:val="000000"/>
          <w:sz w:val="28"/>
        </w:rPr>
        <w:t>
      EC – средняя сумма собственного капитала.</w:t>
      </w:r>
      <w:r>
        <w:br/>
      </w:r>
      <w:r>
        <w:rPr>
          <w:rFonts w:ascii="Times New Roman"/>
          <w:b w:val="false"/>
          <w:i w:val="false"/>
          <w:color w:val="000000"/>
          <w:sz w:val="28"/>
        </w:rPr>
        <w:t>
</w:t>
      </w:r>
      <w:r>
        <w:rPr>
          <w:rFonts w:ascii="Times New Roman"/>
          <w:b w:val="false"/>
          <w:i w:val="false"/>
          <w:color w:val="000000"/>
          <w:sz w:val="28"/>
        </w:rPr>
        <w:t>
      Рекомендуемое значение DFL: полагается, что чем выше значение DFL, тем выше прибыль, которая приходится на заемный капитал.</w:t>
      </w:r>
      <w:r>
        <w:br/>
      </w:r>
      <w:r>
        <w:rPr>
          <w:rFonts w:ascii="Times New Roman"/>
          <w:b w:val="false"/>
          <w:i w:val="false"/>
          <w:color w:val="000000"/>
          <w:sz w:val="28"/>
        </w:rPr>
        <w:t>
</w:t>
      </w:r>
      <w:r>
        <w:rPr>
          <w:rFonts w:ascii="Times New Roman"/>
          <w:b w:val="false"/>
          <w:i w:val="false"/>
          <w:color w:val="000000"/>
          <w:sz w:val="28"/>
        </w:rPr>
        <w:t>
      16. Коэффициент рентабельности инвестиций (return on investment, ROI) показывает отдачу на сумму вложенных в проект денежных средств. Рассчитывается по формуле:</w:t>
      </w:r>
    </w:p>
    <w:bookmarkEnd w:id="36"/>
    <w:p>
      <w:pPr>
        <w:spacing w:after="0"/>
        <w:ind w:left="0"/>
        <w:jc w:val="both"/>
      </w:pPr>
      <w:r>
        <w:drawing>
          <wp:inline distT="0" distB="0" distL="0" distR="0">
            <wp:extent cx="3810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810000" cy="558800"/>
                    </a:xfrm>
                    <a:prstGeom prst="rect">
                      <a:avLst/>
                    </a:prstGeom>
                  </pic:spPr>
                </pic:pic>
              </a:graphicData>
            </a:graphic>
          </wp:inline>
        </w:drawing>
      </w:r>
    </w:p>
    <w:bookmarkStart w:name="z190" w:id="37"/>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NI - чистая прибыль;</w:t>
      </w:r>
      <w:r>
        <w:br/>
      </w:r>
      <w:r>
        <w:rPr>
          <w:rFonts w:ascii="Times New Roman"/>
          <w:b w:val="false"/>
          <w:i w:val="false"/>
          <w:color w:val="000000"/>
          <w:sz w:val="28"/>
        </w:rPr>
        <w:t>
</w:t>
      </w:r>
      <w:r>
        <w:rPr>
          <w:rFonts w:ascii="Times New Roman"/>
          <w:b w:val="false"/>
          <w:i w:val="false"/>
          <w:color w:val="000000"/>
          <w:sz w:val="28"/>
        </w:rPr>
        <w:t>
      IC - инвестированный капитал;</w:t>
      </w:r>
      <w:r>
        <w:br/>
      </w:r>
      <w:r>
        <w:rPr>
          <w:rFonts w:ascii="Times New Roman"/>
          <w:b w:val="false"/>
          <w:i w:val="false"/>
          <w:color w:val="000000"/>
          <w:sz w:val="28"/>
        </w:rPr>
        <w:t>
</w:t>
      </w:r>
      <w:r>
        <w:rPr>
          <w:rFonts w:ascii="Times New Roman"/>
          <w:b w:val="false"/>
          <w:i w:val="false"/>
          <w:color w:val="000000"/>
          <w:sz w:val="28"/>
        </w:rPr>
        <w:t>
      EC – среднегодовая сумма собственного капитала;</w:t>
      </w:r>
      <w:r>
        <w:br/>
      </w:r>
      <w:r>
        <w:rPr>
          <w:rFonts w:ascii="Times New Roman"/>
          <w:b w:val="false"/>
          <w:i w:val="false"/>
          <w:color w:val="000000"/>
          <w:sz w:val="28"/>
        </w:rPr>
        <w:t>
</w:t>
      </w:r>
      <w:r>
        <w:rPr>
          <w:rFonts w:ascii="Times New Roman"/>
          <w:b w:val="false"/>
          <w:i w:val="false"/>
          <w:color w:val="000000"/>
          <w:sz w:val="28"/>
        </w:rPr>
        <w:t>
      LTL – долгосрочные обязательства.</w:t>
      </w:r>
      <w:r>
        <w:br/>
      </w:r>
      <w:r>
        <w:rPr>
          <w:rFonts w:ascii="Times New Roman"/>
          <w:b w:val="false"/>
          <w:i w:val="false"/>
          <w:color w:val="000000"/>
          <w:sz w:val="28"/>
        </w:rPr>
        <w:t>
</w:t>
      </w:r>
      <w:r>
        <w:rPr>
          <w:rFonts w:ascii="Times New Roman"/>
          <w:b w:val="false"/>
          <w:i w:val="false"/>
          <w:color w:val="000000"/>
          <w:sz w:val="28"/>
        </w:rPr>
        <w:t>
      Рекомендуемое значение ROI: чем выше значение коэффициента, тем более эффективно используются инвестиции.</w:t>
      </w:r>
      <w:r>
        <w:br/>
      </w:r>
      <w:r>
        <w:rPr>
          <w:rFonts w:ascii="Times New Roman"/>
          <w:b w:val="false"/>
          <w:i w:val="false"/>
          <w:color w:val="000000"/>
          <w:sz w:val="28"/>
        </w:rPr>
        <w:t>
</w:t>
      </w:r>
      <w:r>
        <w:rPr>
          <w:rFonts w:ascii="Times New Roman"/>
          <w:b w:val="false"/>
          <w:i w:val="false"/>
          <w:color w:val="000000"/>
          <w:sz w:val="28"/>
        </w:rPr>
        <w:t>
      17. Коэффициенты платежеспособности (финансовой устойчивости в долгосрочной перспективе) характеризуют состояние финансовых ресурсов Компании и их способность обеспечить рост ее деловой активности при сохранении платежеспособности в условиях допустимого уровня риска.</w:t>
      </w:r>
      <w:r>
        <w:br/>
      </w:r>
      <w:r>
        <w:rPr>
          <w:rFonts w:ascii="Times New Roman"/>
          <w:b w:val="false"/>
          <w:i w:val="false"/>
          <w:color w:val="000000"/>
          <w:sz w:val="28"/>
        </w:rPr>
        <w:t>
</w:t>
      </w:r>
      <w:r>
        <w:rPr>
          <w:rFonts w:ascii="Times New Roman"/>
          <w:b w:val="false"/>
          <w:i w:val="false"/>
          <w:color w:val="000000"/>
          <w:sz w:val="28"/>
        </w:rPr>
        <w:t>
      18. Коэффициент финансовой независимости (equity to total assets, EtTA) характеризует долю собственного капитала в общей сумме авансированных средств. Чем выше значение коэффициента, тем финансово более устойчиво и независимо от внешних кредиторов предприятие. Рассчитывается по формуле:</w:t>
      </w:r>
    </w:p>
    <w:bookmarkEnd w:id="37"/>
    <w:p>
      <w:pPr>
        <w:spacing w:after="0"/>
        <w:ind w:left="0"/>
        <w:jc w:val="both"/>
      </w:pPr>
      <w:r>
        <w:drawing>
          <wp:inline distT="0" distB="0" distL="0" distR="0">
            <wp:extent cx="1206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06500" cy="546100"/>
                    </a:xfrm>
                    <a:prstGeom prst="rect">
                      <a:avLst/>
                    </a:prstGeom>
                  </pic:spPr>
                </pic:pic>
              </a:graphicData>
            </a:graphic>
          </wp:inline>
        </w:drawing>
      </w:r>
    </w:p>
    <w:bookmarkStart w:name="z198" w:id="38"/>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EC – собственный капитал;</w:t>
      </w:r>
      <w:r>
        <w:br/>
      </w:r>
      <w:r>
        <w:rPr>
          <w:rFonts w:ascii="Times New Roman"/>
          <w:b w:val="false"/>
          <w:i w:val="false"/>
          <w:color w:val="000000"/>
          <w:sz w:val="28"/>
        </w:rPr>
        <w:t>
</w:t>
      </w:r>
      <w:r>
        <w:rPr>
          <w:rFonts w:ascii="Times New Roman"/>
          <w:b w:val="false"/>
          <w:i w:val="false"/>
          <w:color w:val="000000"/>
          <w:sz w:val="28"/>
        </w:rPr>
        <w:t>
      TA – сумма активов.</w:t>
      </w:r>
      <w:r>
        <w:br/>
      </w:r>
      <w:r>
        <w:rPr>
          <w:rFonts w:ascii="Times New Roman"/>
          <w:b w:val="false"/>
          <w:i w:val="false"/>
          <w:color w:val="000000"/>
          <w:sz w:val="28"/>
        </w:rPr>
        <w:t>
</w:t>
      </w:r>
      <w:r>
        <w:rPr>
          <w:rFonts w:ascii="Times New Roman"/>
          <w:b w:val="false"/>
          <w:i w:val="false"/>
          <w:color w:val="000000"/>
          <w:sz w:val="28"/>
        </w:rPr>
        <w:t>
      Рекомендуемые значения EtTA: нормативное значение для данного показателя равно 0,6.</w:t>
      </w:r>
      <w:r>
        <w:br/>
      </w:r>
      <w:r>
        <w:rPr>
          <w:rFonts w:ascii="Times New Roman"/>
          <w:b w:val="false"/>
          <w:i w:val="false"/>
          <w:color w:val="000000"/>
          <w:sz w:val="28"/>
        </w:rPr>
        <w:t>
</w:t>
      </w:r>
      <w:r>
        <w:rPr>
          <w:rFonts w:ascii="Times New Roman"/>
          <w:b w:val="false"/>
          <w:i w:val="false"/>
          <w:color w:val="000000"/>
          <w:sz w:val="28"/>
        </w:rPr>
        <w:t>
      19. Коэффициент финансового левереджа (debt ratio, DR) прямо пропорционален финансовому риску предприятия и отражает долю заемных средств в источниках финансирования активов предприятия. Рассчитывается по формуле:</w:t>
      </w:r>
    </w:p>
    <w:bookmarkEnd w:id="38"/>
    <w:p>
      <w:pPr>
        <w:spacing w:after="0"/>
        <w:ind w:left="0"/>
        <w:jc w:val="both"/>
      </w:pPr>
      <w:r>
        <w:drawing>
          <wp:inline distT="0" distB="0" distL="0" distR="0">
            <wp:extent cx="99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90600" cy="546100"/>
                    </a:xfrm>
                    <a:prstGeom prst="rect">
                      <a:avLst/>
                    </a:prstGeom>
                  </pic:spPr>
                </pic:pic>
              </a:graphicData>
            </a:graphic>
          </wp:inline>
        </w:drawing>
      </w:r>
    </w:p>
    <w:bookmarkStart w:name="z203" w:id="39"/>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LC – заемный капитал;</w:t>
      </w:r>
      <w:r>
        <w:br/>
      </w:r>
      <w:r>
        <w:rPr>
          <w:rFonts w:ascii="Times New Roman"/>
          <w:b w:val="false"/>
          <w:i w:val="false"/>
          <w:color w:val="000000"/>
          <w:sz w:val="28"/>
        </w:rPr>
        <w:t>
</w:t>
      </w:r>
      <w:r>
        <w:rPr>
          <w:rFonts w:ascii="Times New Roman"/>
          <w:b w:val="false"/>
          <w:i w:val="false"/>
          <w:color w:val="000000"/>
          <w:sz w:val="28"/>
        </w:rPr>
        <w:t>
      EC – собственный капитал.</w:t>
      </w:r>
      <w:r>
        <w:br/>
      </w:r>
      <w:r>
        <w:rPr>
          <w:rFonts w:ascii="Times New Roman"/>
          <w:b w:val="false"/>
          <w:i w:val="false"/>
          <w:color w:val="000000"/>
          <w:sz w:val="28"/>
        </w:rPr>
        <w:t>
</w:t>
      </w:r>
      <w:r>
        <w:rPr>
          <w:rFonts w:ascii="Times New Roman"/>
          <w:b w:val="false"/>
          <w:i w:val="false"/>
          <w:color w:val="000000"/>
          <w:sz w:val="28"/>
        </w:rPr>
        <w:t>
      Рекомендуемое значение DR: в диапазоне: 0,5 - 0,8.</w:t>
      </w:r>
      <w:r>
        <w:br/>
      </w:r>
      <w:r>
        <w:rPr>
          <w:rFonts w:ascii="Times New Roman"/>
          <w:b w:val="false"/>
          <w:i w:val="false"/>
          <w:color w:val="000000"/>
          <w:sz w:val="28"/>
        </w:rPr>
        <w:t>
</w:t>
      </w:r>
      <w:r>
        <w:rPr>
          <w:rFonts w:ascii="Times New Roman"/>
          <w:b w:val="false"/>
          <w:i w:val="false"/>
          <w:color w:val="000000"/>
          <w:sz w:val="28"/>
        </w:rPr>
        <w:t>
      20. Коэффициент обеспеченности кредитов прибылью (percentage of loans profit, PLP) применяется для оценки возможности предприятия погасить долги по кредитам. Рассчитывается по формуле:</w:t>
      </w:r>
    </w:p>
    <w:bookmarkEnd w:id="39"/>
    <w:p>
      <w:pPr>
        <w:spacing w:after="0"/>
        <w:ind w:left="0"/>
        <w:jc w:val="both"/>
      </w:pPr>
      <w:r>
        <w:drawing>
          <wp:inline distT="0" distB="0" distL="0" distR="0">
            <wp:extent cx="1701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01800" cy="558800"/>
                    </a:xfrm>
                    <a:prstGeom prst="rect">
                      <a:avLst/>
                    </a:prstGeom>
                  </pic:spPr>
                </pic:pic>
              </a:graphicData>
            </a:graphic>
          </wp:inline>
        </w:drawing>
      </w:r>
    </w:p>
    <w:bookmarkStart w:name="z208" w:id="40"/>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EBIT – прибыль до уплаты налогов и процентов;</w:t>
      </w:r>
      <w:r>
        <w:br/>
      </w:r>
      <w:r>
        <w:rPr>
          <w:rFonts w:ascii="Times New Roman"/>
          <w:b w:val="false"/>
          <w:i w:val="false"/>
          <w:color w:val="000000"/>
          <w:sz w:val="28"/>
        </w:rPr>
        <w:t>
</w:t>
      </w:r>
      <w:r>
        <w:rPr>
          <w:rFonts w:ascii="Times New Roman"/>
          <w:b w:val="false"/>
          <w:i w:val="false"/>
          <w:color w:val="000000"/>
          <w:sz w:val="28"/>
        </w:rPr>
        <w:t>
      A – амортизация;</w:t>
      </w:r>
      <w:r>
        <w:br/>
      </w:r>
      <w:r>
        <w:rPr>
          <w:rFonts w:ascii="Times New Roman"/>
          <w:b w:val="false"/>
          <w:i w:val="false"/>
          <w:color w:val="000000"/>
          <w:sz w:val="28"/>
        </w:rPr>
        <w:t>
</w:t>
      </w:r>
      <w:r>
        <w:rPr>
          <w:rFonts w:ascii="Times New Roman"/>
          <w:b w:val="false"/>
          <w:i w:val="false"/>
          <w:color w:val="000000"/>
          <w:sz w:val="28"/>
        </w:rPr>
        <w:t>
      CL – краткосрочные обязательства;</w:t>
      </w:r>
      <w:r>
        <w:br/>
      </w:r>
      <w:r>
        <w:rPr>
          <w:rFonts w:ascii="Times New Roman"/>
          <w:b w:val="false"/>
          <w:i w:val="false"/>
          <w:color w:val="000000"/>
          <w:sz w:val="28"/>
        </w:rPr>
        <w:t>
</w:t>
      </w:r>
      <w:r>
        <w:rPr>
          <w:rFonts w:ascii="Times New Roman"/>
          <w:b w:val="false"/>
          <w:i w:val="false"/>
          <w:color w:val="000000"/>
          <w:sz w:val="28"/>
        </w:rPr>
        <w:t>
      LTL – долгосрочные обязательства.</w:t>
      </w:r>
      <w:r>
        <w:br/>
      </w:r>
      <w:r>
        <w:rPr>
          <w:rFonts w:ascii="Times New Roman"/>
          <w:b w:val="false"/>
          <w:i w:val="false"/>
          <w:color w:val="000000"/>
          <w:sz w:val="28"/>
        </w:rPr>
        <w:t>
</w:t>
      </w:r>
      <w:r>
        <w:rPr>
          <w:rFonts w:ascii="Times New Roman"/>
          <w:b w:val="false"/>
          <w:i w:val="false"/>
          <w:color w:val="000000"/>
          <w:sz w:val="28"/>
        </w:rPr>
        <w:t>
      Рекомендуемое значение PLP: повышающееся (в динамике) значение показателя свидетельствует об улучшении ситуации с кредитоспособностью.</w:t>
      </w:r>
      <w:r>
        <w:br/>
      </w:r>
      <w:r>
        <w:rPr>
          <w:rFonts w:ascii="Times New Roman"/>
          <w:b w:val="false"/>
          <w:i w:val="false"/>
          <w:color w:val="000000"/>
          <w:sz w:val="28"/>
        </w:rPr>
        <w:t>
</w:t>
      </w:r>
      <w:r>
        <w:rPr>
          <w:rFonts w:ascii="Times New Roman"/>
          <w:b w:val="false"/>
          <w:i w:val="false"/>
          <w:color w:val="000000"/>
          <w:sz w:val="28"/>
        </w:rPr>
        <w:t>
      21. Коэффициент покрытия процентов (times interest earned, TIE) показывает возможную степень снижения операционной прибыли предприятия, при которой оно может обслуживать выплаты процентов. Рассчитывается по формуле:</w:t>
      </w:r>
    </w:p>
    <w:bookmarkEnd w:id="40"/>
    <w:p>
      <w:pPr>
        <w:spacing w:after="0"/>
        <w:ind w:left="0"/>
        <w:jc w:val="both"/>
      </w:pPr>
      <w:r>
        <w:drawing>
          <wp:inline distT="0" distB="0" distL="0" distR="0">
            <wp:extent cx="128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82700" cy="546100"/>
                    </a:xfrm>
                    <a:prstGeom prst="rect">
                      <a:avLst/>
                    </a:prstGeom>
                  </pic:spPr>
                </pic:pic>
              </a:graphicData>
            </a:graphic>
          </wp:inline>
        </w:drawing>
      </w:r>
    </w:p>
    <w:bookmarkStart w:name="z215" w:id="41"/>
    <w:p>
      <w:pPr>
        <w:spacing w:after="0"/>
        <w:ind w:left="0"/>
        <w:jc w:val="both"/>
      </w:pPr>
      <w:r>
        <w:rPr>
          <w:rFonts w:ascii="Times New Roman"/>
          <w:b w:val="false"/>
          <w:i w:val="false"/>
          <w:color w:val="000000"/>
          <w:sz w:val="28"/>
        </w:rPr>
        <w:t>
      EBIT – прибыль до уплаты налогов и процентов;</w:t>
      </w:r>
      <w:r>
        <w:br/>
      </w:r>
      <w:r>
        <w:rPr>
          <w:rFonts w:ascii="Times New Roman"/>
          <w:b w:val="false"/>
          <w:i w:val="false"/>
          <w:color w:val="000000"/>
          <w:sz w:val="28"/>
        </w:rPr>
        <w:t>
</w:t>
      </w:r>
      <w:r>
        <w:rPr>
          <w:rFonts w:ascii="Times New Roman"/>
          <w:b w:val="false"/>
          <w:i w:val="false"/>
          <w:color w:val="000000"/>
          <w:sz w:val="28"/>
        </w:rPr>
        <w:t>
      PP – проценты к уплате.</w:t>
      </w:r>
      <w:r>
        <w:br/>
      </w:r>
      <w:r>
        <w:rPr>
          <w:rFonts w:ascii="Times New Roman"/>
          <w:b w:val="false"/>
          <w:i w:val="false"/>
          <w:color w:val="000000"/>
          <w:sz w:val="28"/>
        </w:rPr>
        <w:t>
</w:t>
      </w:r>
      <w:r>
        <w:rPr>
          <w:rFonts w:ascii="Times New Roman"/>
          <w:b w:val="false"/>
          <w:i w:val="false"/>
          <w:color w:val="000000"/>
          <w:sz w:val="28"/>
        </w:rPr>
        <w:t>
      Рекомендуемое значение: &gt;1.</w:t>
      </w:r>
      <w:r>
        <w:br/>
      </w:r>
      <w:r>
        <w:rPr>
          <w:rFonts w:ascii="Times New Roman"/>
          <w:b w:val="false"/>
          <w:i w:val="false"/>
          <w:color w:val="000000"/>
          <w:sz w:val="28"/>
        </w:rPr>
        <w:t>
</w:t>
      </w:r>
      <w:r>
        <w:rPr>
          <w:rFonts w:ascii="Times New Roman"/>
          <w:b w:val="false"/>
          <w:i w:val="false"/>
          <w:color w:val="000000"/>
          <w:sz w:val="28"/>
        </w:rPr>
        <w:t>
      22. Коэффициенты оборачиваемости отражают интенсивность использования задействованных ресурсов.</w:t>
      </w:r>
      <w:r>
        <w:br/>
      </w:r>
      <w:r>
        <w:rPr>
          <w:rFonts w:ascii="Times New Roman"/>
          <w:b w:val="false"/>
          <w:i w:val="false"/>
          <w:color w:val="000000"/>
          <w:sz w:val="28"/>
        </w:rPr>
        <w:t>
</w:t>
      </w:r>
      <w:r>
        <w:rPr>
          <w:rFonts w:ascii="Times New Roman"/>
          <w:b w:val="false"/>
          <w:i w:val="false"/>
          <w:color w:val="000000"/>
          <w:sz w:val="28"/>
        </w:rPr>
        <w:t>
      23. Коэффициент оборачиваемости дебиторской задолженности (receivables turnover, RT) показывает, сколько раз в среднем дебиторская задолженность превращалась в денежные средства в течение одного периода. Рассчитывается по формуле:</w:t>
      </w:r>
    </w:p>
    <w:bookmarkEnd w:id="41"/>
    <w:p>
      <w:pPr>
        <w:spacing w:after="0"/>
        <w:ind w:left="0"/>
        <w:jc w:val="both"/>
      </w:pPr>
      <w:r>
        <w:drawing>
          <wp:inline distT="0" distB="0" distL="0" distR="0">
            <wp:extent cx="965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965200" cy="546100"/>
                    </a:xfrm>
                    <a:prstGeom prst="rect">
                      <a:avLst/>
                    </a:prstGeom>
                  </pic:spPr>
                </pic:pic>
              </a:graphicData>
            </a:graphic>
          </wp:inline>
        </w:drawing>
      </w:r>
    </w:p>
    <w:bookmarkStart w:name="z220" w:id="42"/>
    <w:p>
      <w:pPr>
        <w:spacing w:after="0"/>
        <w:ind w:left="0"/>
        <w:jc w:val="both"/>
      </w:pPr>
      <w:r>
        <w:rPr>
          <w:rFonts w:ascii="Times New Roman"/>
          <w:b w:val="false"/>
          <w:i w:val="false"/>
          <w:color w:val="000000"/>
          <w:sz w:val="28"/>
        </w:rPr>
        <w:t>
      NS – выручка от реализации продукции;</w:t>
      </w:r>
      <w:r>
        <w:br/>
      </w:r>
      <w:r>
        <w:rPr>
          <w:rFonts w:ascii="Times New Roman"/>
          <w:b w:val="false"/>
          <w:i w:val="false"/>
          <w:color w:val="000000"/>
          <w:sz w:val="28"/>
        </w:rPr>
        <w:t>
</w:t>
      </w:r>
      <w:r>
        <w:rPr>
          <w:rFonts w:ascii="Times New Roman"/>
          <w:b w:val="false"/>
          <w:i w:val="false"/>
          <w:color w:val="000000"/>
          <w:sz w:val="28"/>
        </w:rPr>
        <w:t>
      AR – среднегодовая стоимость дебиторской задолженности.</w:t>
      </w:r>
      <w:r>
        <w:br/>
      </w:r>
      <w:r>
        <w:rPr>
          <w:rFonts w:ascii="Times New Roman"/>
          <w:b w:val="false"/>
          <w:i w:val="false"/>
          <w:color w:val="000000"/>
          <w:sz w:val="28"/>
        </w:rPr>
        <w:t>
</w:t>
      </w:r>
      <w:r>
        <w:rPr>
          <w:rFonts w:ascii="Times New Roman"/>
          <w:b w:val="false"/>
          <w:i w:val="false"/>
          <w:color w:val="000000"/>
          <w:sz w:val="28"/>
        </w:rPr>
        <w:t>
      Рекомендуемое значение: высокое значение показателя. Низкое значение коэффициента свидетельствует о трудностях с взысканием средств от дебиторов, соответственно о повышении потребности Компании в оборотном капитале. Важно рассмотрение значений данного показателя в тренде.</w:t>
      </w:r>
      <w:r>
        <w:br/>
      </w:r>
      <w:r>
        <w:rPr>
          <w:rFonts w:ascii="Times New Roman"/>
          <w:b w:val="false"/>
          <w:i w:val="false"/>
          <w:color w:val="000000"/>
          <w:sz w:val="28"/>
        </w:rPr>
        <w:t>
</w:t>
      </w:r>
      <w:r>
        <w:rPr>
          <w:rFonts w:ascii="Times New Roman"/>
          <w:b w:val="false"/>
          <w:i w:val="false"/>
          <w:color w:val="000000"/>
          <w:sz w:val="28"/>
        </w:rPr>
        <w:t>
      24. Коэффициент оборачиваемости кредиторской задолженности (payables turnover, PT)</w:t>
      </w:r>
    </w:p>
    <w:bookmarkEnd w:id="42"/>
    <w:p>
      <w:pPr>
        <w:spacing w:after="0"/>
        <w:ind w:left="0"/>
        <w:jc w:val="both"/>
      </w:pP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952500" cy="546100"/>
                    </a:xfrm>
                    <a:prstGeom prst="rect">
                      <a:avLst/>
                    </a:prstGeom>
                  </pic:spPr>
                </pic:pic>
              </a:graphicData>
            </a:graphic>
          </wp:inline>
        </w:drawing>
      </w:r>
    </w:p>
    <w:bookmarkStart w:name="z224" w:id="43"/>
    <w:p>
      <w:pPr>
        <w:spacing w:after="0"/>
        <w:ind w:left="0"/>
        <w:jc w:val="both"/>
      </w:pPr>
      <w:r>
        <w:rPr>
          <w:rFonts w:ascii="Times New Roman"/>
          <w:b w:val="false"/>
          <w:i w:val="false"/>
          <w:color w:val="000000"/>
          <w:sz w:val="28"/>
        </w:rPr>
        <w:t>
      NS – выручка от реализации продукции;</w:t>
      </w:r>
      <w:r>
        <w:br/>
      </w:r>
      <w:r>
        <w:rPr>
          <w:rFonts w:ascii="Times New Roman"/>
          <w:b w:val="false"/>
          <w:i w:val="false"/>
          <w:color w:val="000000"/>
          <w:sz w:val="28"/>
        </w:rPr>
        <w:t>
</w:t>
      </w:r>
      <w:r>
        <w:rPr>
          <w:rFonts w:ascii="Times New Roman"/>
          <w:b w:val="false"/>
          <w:i w:val="false"/>
          <w:color w:val="000000"/>
          <w:sz w:val="28"/>
        </w:rPr>
        <w:t>
      AP – среднегодовая стоимость кредиторской задолженности.</w:t>
      </w:r>
      <w:r>
        <w:br/>
      </w:r>
      <w:r>
        <w:rPr>
          <w:rFonts w:ascii="Times New Roman"/>
          <w:b w:val="false"/>
          <w:i w:val="false"/>
          <w:color w:val="000000"/>
          <w:sz w:val="28"/>
        </w:rPr>
        <w:t>
</w:t>
      </w:r>
      <w:r>
        <w:rPr>
          <w:rFonts w:ascii="Times New Roman"/>
          <w:b w:val="false"/>
          <w:i w:val="false"/>
          <w:color w:val="000000"/>
          <w:sz w:val="28"/>
        </w:rPr>
        <w:t>
      Рекомендуемое значение: высокое значение показателя. Низкое значение показателя может свидетельствовать с одной стороны, о проблемах с оплатой с кредиторами, с другой стороны, об эффективно налаженных отношениях с кредиторами. В целях исключения варианта с первой причиной, значение коэффициента необходимо анализировать в динамике.</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