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5e01" w14:textId="bd35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и иных обязательных лимитов для банковского конгломерата, а также форм и сроков представления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92. Зарегистрировано в Министерстве юстиции Республики Казахстан 28 апреля 2012 года № 7601. Утратило силу постановлением Правления Национального Банка Республики Казахстан от 26 декабря 2016 года № 309.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xml:space="preserve">№ 309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нормативные значения и методики расчетов пруденциальных нормативов и иных обязательных лимитов для банковского конгломерата, а также формы и сроки представления отчетности,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44 "Об установлении нормативных значений и методик расчетов пруденциальных нормативов для банковских конгломератов, а также форм и сроков представления отчетности об их выполнении" (зарегистрированное в Реестре государственной регистрации нормативных правовых актов Республики Казахстан от 28 марта 2006 года № 4148).</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Агентство Республики Казахстан </w:t>
      </w:r>
    </w:p>
    <w:p>
      <w:pPr>
        <w:spacing w:after="0"/>
        <w:ind w:left="0"/>
        <w:jc w:val="both"/>
      </w:pP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
      Председатель _______ Смаилов А.А. </w:t>
      </w:r>
    </w:p>
    <w:p>
      <w:pPr>
        <w:spacing w:after="0"/>
        <w:ind w:left="0"/>
        <w:jc w:val="both"/>
      </w:pPr>
      <w:r>
        <w:rPr>
          <w:rFonts w:ascii="Times New Roman"/>
          <w:b w:val="false"/>
          <w:i w:val="false"/>
          <w:color w:val="000000"/>
          <w:sz w:val="28"/>
        </w:rPr>
        <w:t>
      28 марта 2012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92</w:t>
            </w:r>
          </w:p>
        </w:tc>
      </w:tr>
    </w:tbl>
    <w:bookmarkStart w:name="z6" w:id="4"/>
    <w:p>
      <w:pPr>
        <w:spacing w:after="0"/>
        <w:ind w:left="0"/>
        <w:jc w:val="left"/>
      </w:pPr>
      <w:r>
        <w:rPr>
          <w:rFonts w:ascii="Times New Roman"/>
          <w:b/>
          <w:i w:val="false"/>
          <w:color w:val="000000"/>
        </w:rPr>
        <w:t xml:space="preserve"> Нормативные значения и методики расчетов пруденциальных</w:t>
      </w:r>
      <w:r>
        <w:br/>
      </w:r>
      <w:r>
        <w:rPr>
          <w:rFonts w:ascii="Times New Roman"/>
          <w:b/>
          <w:i w:val="false"/>
          <w:color w:val="000000"/>
        </w:rPr>
        <w:t>нормативов и иных обязательных лимитов для банковского</w:t>
      </w:r>
      <w:r>
        <w:br/>
      </w:r>
      <w:r>
        <w:rPr>
          <w:rFonts w:ascii="Times New Roman"/>
          <w:b/>
          <w:i w:val="false"/>
          <w:color w:val="000000"/>
        </w:rPr>
        <w:t>конгломерата, а также формы и сроки представления отчетности</w:t>
      </w:r>
    </w:p>
    <w:bookmarkEnd w:id="4"/>
    <w:bookmarkStart w:name="z7" w:id="5"/>
    <w:p>
      <w:pPr>
        <w:spacing w:after="0"/>
        <w:ind w:left="0"/>
        <w:jc w:val="both"/>
      </w:pPr>
      <w:r>
        <w:rPr>
          <w:rFonts w:ascii="Times New Roman"/>
          <w:b w:val="false"/>
          <w:i w:val="false"/>
          <w:color w:val="000000"/>
          <w:sz w:val="28"/>
        </w:rPr>
        <w:t xml:space="preserve">
      Настоящие Нормативные значения и методики расчетов пруденциальных нормативов и иных обязательных лимитов для банковского конгломерата, а также формы и сроки представления отчетности (далее - Нормативные значения)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и устанавливает нормативные значения и методики расчетов пруденциальных нормативов и иных обязательных лимитов для банковского конгломерата, а также формы и сроки представления отчетности.</w:t>
      </w:r>
    </w:p>
    <w:bookmarkEnd w:id="5"/>
    <w:bookmarkStart w:name="z8" w:id="6"/>
    <w:p>
      <w:pPr>
        <w:spacing w:after="0"/>
        <w:ind w:left="0"/>
        <w:jc w:val="both"/>
      </w:pPr>
      <w:r>
        <w:rPr>
          <w:rFonts w:ascii="Times New Roman"/>
          <w:b w:val="false"/>
          <w:i w:val="false"/>
          <w:color w:val="000000"/>
          <w:sz w:val="28"/>
        </w:rPr>
        <w:t>
      1. В состав пруденциальных нормативов для обязательного соблюдения банковским конгломератом входят следующие пруденциальные нормативы: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минимальный размер</w:t>
      </w:r>
      <w:r>
        <w:rPr>
          <w:rFonts w:ascii="Times New Roman"/>
          <w:b w:val="false"/>
          <w:i w:val="false"/>
          <w:color w:val="000000"/>
          <w:sz w:val="28"/>
        </w:rPr>
        <w:t xml:space="preserve"> уставного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коэффициент</w:t>
      </w:r>
      <w:r>
        <w:rPr>
          <w:rFonts w:ascii="Times New Roman"/>
          <w:b w:val="false"/>
          <w:i w:val="false"/>
          <w:color w:val="000000"/>
          <w:sz w:val="28"/>
        </w:rPr>
        <w:t xml:space="preserve"> достаточности собственного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максимальный размер</w:t>
      </w:r>
      <w:r>
        <w:rPr>
          <w:rFonts w:ascii="Times New Roman"/>
          <w:b w:val="false"/>
          <w:i w:val="false"/>
          <w:color w:val="000000"/>
          <w:sz w:val="28"/>
        </w:rPr>
        <w:t xml:space="preserve"> риска на одного заемщика.</w:t>
      </w:r>
    </w:p>
    <w:bookmarkStart w:name="z12" w:id="7"/>
    <w:p>
      <w:pPr>
        <w:spacing w:after="0"/>
        <w:ind w:left="0"/>
        <w:jc w:val="both"/>
      </w:pPr>
      <w:r>
        <w:rPr>
          <w:rFonts w:ascii="Times New Roman"/>
          <w:b w:val="false"/>
          <w:i w:val="false"/>
          <w:color w:val="000000"/>
          <w:sz w:val="28"/>
        </w:rPr>
        <w:t>
      2. Для целей расчета пруденциальных нормативов для банковских конгломератов Нормативными значениями используются следующие понятия:</w:t>
      </w:r>
    </w:p>
    <w:bookmarkEnd w:id="7"/>
    <w:bookmarkStart w:name="z13" w:id="8"/>
    <w:p>
      <w:pPr>
        <w:spacing w:after="0"/>
        <w:ind w:left="0"/>
        <w:jc w:val="both"/>
      </w:pPr>
      <w:r>
        <w:rPr>
          <w:rFonts w:ascii="Times New Roman"/>
          <w:b w:val="false"/>
          <w:i w:val="false"/>
          <w:color w:val="000000"/>
          <w:sz w:val="28"/>
        </w:rPr>
        <w:t>
      1) участники банковского конгломерата - группа юридических лиц, состоящая из банковского холдинга,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имеют значительное участие в капитале;</w:t>
      </w:r>
    </w:p>
    <w:bookmarkEnd w:id="8"/>
    <w:bookmarkStart w:name="z14" w:id="9"/>
    <w:p>
      <w:pPr>
        <w:spacing w:after="0"/>
        <w:ind w:left="0"/>
        <w:jc w:val="both"/>
      </w:pPr>
      <w:r>
        <w:rPr>
          <w:rFonts w:ascii="Times New Roman"/>
          <w:b w:val="false"/>
          <w:i w:val="false"/>
          <w:color w:val="000000"/>
          <w:sz w:val="28"/>
        </w:rPr>
        <w:t>
      2) риски - активы, условные и возможные обязательства участников банковского конгломерата, рассчитанные в соответствии с Инструкцией о нормативных значениях и методике расчетов пруденциальных нормативов для банков второго уровня,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 358 (зарегистрированное в Реестре государственной регистрации нормативных правовых актов под № 3924) (далее – Инструкция № 358);</w:t>
      </w:r>
    </w:p>
    <w:bookmarkEnd w:id="9"/>
    <w:bookmarkStart w:name="z15" w:id="10"/>
    <w:p>
      <w:pPr>
        <w:spacing w:after="0"/>
        <w:ind w:left="0"/>
        <w:jc w:val="both"/>
      </w:pPr>
      <w:r>
        <w:rPr>
          <w:rFonts w:ascii="Times New Roman"/>
          <w:b w:val="false"/>
          <w:i w:val="false"/>
          <w:color w:val="000000"/>
          <w:sz w:val="28"/>
        </w:rPr>
        <w:t>
      3) один заемщик банковского конгломерата - физическое или юридическое лицо, к которому у участников банковского конгломерата имеются риски или могут возникнуть риски, по которым участники банковского конгломерата приняли на себя обязательство за должника в пользу третьих лиц, а также основаниям, предусмотренным законодательными актами Республики Казахстан или заключенными договорами;</w:t>
      </w:r>
    </w:p>
    <w:bookmarkEnd w:id="10"/>
    <w:bookmarkStart w:name="z16" w:id="11"/>
    <w:p>
      <w:pPr>
        <w:spacing w:after="0"/>
        <w:ind w:left="0"/>
        <w:jc w:val="both"/>
      </w:pPr>
      <w:r>
        <w:rPr>
          <w:rFonts w:ascii="Times New Roman"/>
          <w:b w:val="false"/>
          <w:i w:val="false"/>
          <w:color w:val="000000"/>
          <w:sz w:val="28"/>
        </w:rPr>
        <w:t>
      4) группа лиц - группа юридических и физических лиц, в силу определенных отношений оказывающих влияние друг на друга;</w:t>
      </w:r>
    </w:p>
    <w:bookmarkEnd w:id="11"/>
    <w:bookmarkStart w:name="z17" w:id="12"/>
    <w:p>
      <w:pPr>
        <w:spacing w:after="0"/>
        <w:ind w:left="0"/>
        <w:jc w:val="both"/>
      </w:pPr>
      <w:r>
        <w:rPr>
          <w:rFonts w:ascii="Times New Roman"/>
          <w:b w:val="false"/>
          <w:i w:val="false"/>
          <w:color w:val="000000"/>
          <w:sz w:val="28"/>
        </w:rPr>
        <w:t>
      5) уполномоченный орган - Национальный Банк Республики Казахстан.</w:t>
      </w:r>
    </w:p>
    <w:bookmarkEnd w:id="12"/>
    <w:bookmarkStart w:name="z18" w:id="13"/>
    <w:p>
      <w:pPr>
        <w:spacing w:after="0"/>
        <w:ind w:left="0"/>
        <w:jc w:val="both"/>
      </w:pPr>
      <w:r>
        <w:rPr>
          <w:rFonts w:ascii="Times New Roman"/>
          <w:b w:val="false"/>
          <w:i w:val="false"/>
          <w:color w:val="000000"/>
          <w:sz w:val="28"/>
        </w:rPr>
        <w:t>
      Для целей расчета пруденциальных нормативов для банковских конгломератов:</w:t>
      </w:r>
    </w:p>
    <w:bookmarkEnd w:id="13"/>
    <w:bookmarkStart w:name="z19" w:id="14"/>
    <w:p>
      <w:pPr>
        <w:spacing w:after="0"/>
        <w:ind w:left="0"/>
        <w:jc w:val="both"/>
      </w:pPr>
      <w:r>
        <w:rPr>
          <w:rFonts w:ascii="Times New Roman"/>
          <w:b w:val="false"/>
          <w:i w:val="false"/>
          <w:color w:val="000000"/>
          <w:sz w:val="28"/>
        </w:rPr>
        <w:t>
      помимо рейтинговой оценки агентства Standard&amp;Poor's, уполномоченным органом также признаются рейтинговые оценки агентств Moody's Investors Service и Fitch;</w:t>
      </w:r>
    </w:p>
    <w:bookmarkEnd w:id="14"/>
    <w:bookmarkStart w:name="z20" w:id="15"/>
    <w:p>
      <w:pPr>
        <w:spacing w:after="0"/>
        <w:ind w:left="0"/>
        <w:jc w:val="both"/>
      </w:pPr>
      <w:r>
        <w:rPr>
          <w:rFonts w:ascii="Times New Roman"/>
          <w:b w:val="false"/>
          <w:i w:val="false"/>
          <w:color w:val="000000"/>
          <w:sz w:val="28"/>
        </w:rPr>
        <w:t>
      используется неконсолидированная финансовая отчетность участников банковского конгломерата, составленная в соответствии со стандартами финансовой и (или) регуляторной отчетности, используемыми уполномоченным органом страны нахождения участника банковского конгломерата в целях пруденциального регулирования.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22.10.2014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действует до 01.07.2015 в соответствии с постановлением Правления Национального Банка РК от 22.10.2014 </w:t>
      </w:r>
      <w:r>
        <w:rPr>
          <w:rFonts w:ascii="Times New Roman"/>
          <w:b w:val="false"/>
          <w:i w:val="false"/>
          <w:color w:val="ff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3. Банковский холдинг или банк, не имеющий банковского холдинга, но имеющий дочернюю организацию, ежеквартально, не позднее первого числа второго месяца, следующего за отчетным кварталом, представляет в уполномоченный орган отчет о выполнении пруденциальных нормативов банковским конгломератом с приложением финансовой отчетности участников банковского конгломерата на бумажном носителе и (или) в электронном формате,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Нормативным значениям, за исключением случая, предусмотренного пунктом 3-1 настоящих Нормативных значений.</w:t>
      </w:r>
    </w:p>
    <w:bookmarkEnd w:id="16"/>
    <w:bookmarkStart w:name="z99" w:id="17"/>
    <w:p>
      <w:pPr>
        <w:spacing w:after="0"/>
        <w:ind w:left="0"/>
        <w:jc w:val="both"/>
      </w:pPr>
      <w:r>
        <w:rPr>
          <w:rFonts w:ascii="Times New Roman"/>
          <w:b w:val="false"/>
          <w:i w:val="false"/>
          <w:color w:val="000000"/>
          <w:sz w:val="28"/>
        </w:rPr>
        <w:t xml:space="preserve">
      При этом финансовая отчетность участников банковского конгломерата, ранее представленная в уполномоченный орган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зарегистрированным в Реестре государственной регистрации нормативных правовых актов под № 8571, не прилагается.</w:t>
      </w:r>
    </w:p>
    <w:bookmarkEnd w:id="17"/>
    <w:bookmarkStart w:name="z23" w:id="18"/>
    <w:p>
      <w:pPr>
        <w:spacing w:after="0"/>
        <w:ind w:left="0"/>
        <w:jc w:val="both"/>
      </w:pPr>
      <w:r>
        <w:rPr>
          <w:rFonts w:ascii="Times New Roman"/>
          <w:b w:val="false"/>
          <w:i w:val="false"/>
          <w:color w:val="000000"/>
          <w:sz w:val="28"/>
        </w:rPr>
        <w:t>
      К отчету о выполнении пруденциальных нормативов для банковского конгломерата прилагаются:</w:t>
      </w:r>
    </w:p>
    <w:bookmarkEnd w:id="18"/>
    <w:bookmarkStart w:name="z24" w:id="19"/>
    <w:p>
      <w:pPr>
        <w:spacing w:after="0"/>
        <w:ind w:left="0"/>
        <w:jc w:val="both"/>
      </w:pPr>
      <w:r>
        <w:rPr>
          <w:rFonts w:ascii="Times New Roman"/>
          <w:b w:val="false"/>
          <w:i w:val="false"/>
          <w:color w:val="000000"/>
          <w:sz w:val="28"/>
        </w:rPr>
        <w:t xml:space="preserve">
      сведения по активам, условным и возможным обязательствам участников банковского конгломерата, взвешенным по степени риска,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Нормативным значениям;</w:t>
      </w:r>
    </w:p>
    <w:bookmarkEnd w:id="19"/>
    <w:bookmarkStart w:name="z25" w:id="20"/>
    <w:p>
      <w:pPr>
        <w:spacing w:after="0"/>
        <w:ind w:left="0"/>
        <w:jc w:val="both"/>
      </w:pPr>
      <w:r>
        <w:rPr>
          <w:rFonts w:ascii="Times New Roman"/>
          <w:b w:val="false"/>
          <w:i w:val="false"/>
          <w:color w:val="000000"/>
          <w:sz w:val="28"/>
        </w:rPr>
        <w:t xml:space="preserve">
      сведения по инвестициям участников банковского конгломерата в капитал других юридических лиц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Нормативным значениям;</w:t>
      </w:r>
    </w:p>
    <w:bookmarkEnd w:id="20"/>
    <w:bookmarkStart w:name="z26" w:id="21"/>
    <w:p>
      <w:pPr>
        <w:spacing w:after="0"/>
        <w:ind w:left="0"/>
        <w:jc w:val="both"/>
      </w:pPr>
      <w:r>
        <w:rPr>
          <w:rFonts w:ascii="Times New Roman"/>
          <w:b w:val="false"/>
          <w:i w:val="false"/>
          <w:color w:val="000000"/>
          <w:sz w:val="28"/>
        </w:rPr>
        <w:t xml:space="preserve">
      сведения по структуре портфеля ценных бумаг участников банковского конгломерата по форме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Нормативным значениям;</w:t>
      </w:r>
    </w:p>
    <w:bookmarkEnd w:id="21"/>
    <w:bookmarkStart w:name="z27" w:id="22"/>
    <w:p>
      <w:pPr>
        <w:spacing w:after="0"/>
        <w:ind w:left="0"/>
        <w:jc w:val="both"/>
      </w:pPr>
      <w:r>
        <w:rPr>
          <w:rFonts w:ascii="Times New Roman"/>
          <w:b w:val="false"/>
          <w:i w:val="false"/>
          <w:color w:val="000000"/>
          <w:sz w:val="28"/>
        </w:rPr>
        <w:t xml:space="preserve">
      сведения по внутригрупповым сделкам банковского конгломерата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Нормативным значениям;</w:t>
      </w:r>
    </w:p>
    <w:bookmarkEnd w:id="22"/>
    <w:bookmarkStart w:name="z28" w:id="23"/>
    <w:p>
      <w:pPr>
        <w:spacing w:after="0"/>
        <w:ind w:left="0"/>
        <w:jc w:val="both"/>
      </w:pPr>
      <w:r>
        <w:rPr>
          <w:rFonts w:ascii="Times New Roman"/>
          <w:b w:val="false"/>
          <w:i w:val="false"/>
          <w:color w:val="000000"/>
          <w:sz w:val="28"/>
        </w:rPr>
        <w:t xml:space="preserve">
      сведения обо всех обязательствах банковского конгломерата перед третьими лицами, составляющих десять и более процентов от собственного капитала банковского конгломерата по форме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Нормативным значениям;</w:t>
      </w:r>
    </w:p>
    <w:bookmarkEnd w:id="23"/>
    <w:bookmarkStart w:name="z29" w:id="24"/>
    <w:p>
      <w:pPr>
        <w:spacing w:after="0"/>
        <w:ind w:left="0"/>
        <w:jc w:val="both"/>
      </w:pPr>
      <w:r>
        <w:rPr>
          <w:rFonts w:ascii="Times New Roman"/>
          <w:b w:val="false"/>
          <w:i w:val="false"/>
          <w:color w:val="000000"/>
          <w:sz w:val="28"/>
        </w:rPr>
        <w:t>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установленные нормативными правовыми актами уполномоченного органа соответствующего государства, регулирующего их деятельность в стране их нахождения.</w:t>
      </w:r>
    </w:p>
    <w:bookmarkEnd w:id="24"/>
    <w:bookmarkStart w:name="z30" w:id="25"/>
    <w:p>
      <w:pPr>
        <w:spacing w:after="0"/>
        <w:ind w:left="0"/>
        <w:jc w:val="both"/>
      </w:pPr>
      <w:r>
        <w:rPr>
          <w:rFonts w:ascii="Times New Roman"/>
          <w:b w:val="false"/>
          <w:i w:val="false"/>
          <w:color w:val="000000"/>
          <w:sz w:val="28"/>
        </w:rPr>
        <w:t>
      Отчет о выполнении пруденциальных нормативов банковским конгломератом за четвертый квартал истекшего года представляется в уполномоченный орган не позднее 1 апреля года, следующего за отчетным.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22.10.2014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3-1 действует до 01.07.2015 в соответствии с постановлением Правления Национального Банка РК от 22.10.2014 </w:t>
      </w:r>
      <w:r>
        <w:rPr>
          <w:rFonts w:ascii="Times New Roman"/>
          <w:b w:val="false"/>
          <w:i w:val="false"/>
          <w:color w:val="ff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01" w:id="26"/>
    <w:p>
      <w:pPr>
        <w:spacing w:after="0"/>
        <w:ind w:left="0"/>
        <w:jc w:val="both"/>
      </w:pPr>
      <w:r>
        <w:rPr>
          <w:rFonts w:ascii="Times New Roman"/>
          <w:b w:val="false"/>
          <w:i w:val="false"/>
          <w:color w:val="000000"/>
          <w:sz w:val="28"/>
        </w:rPr>
        <w:t>
      3-1. Отчет о выполнении пруденциальных нормативов банковским конгломератом с приложением финансовой отчетности участников банковского конгломерата на бумажном носителе и (или) в электронном формате по форме в соответствии с приложением 1 к Нормативным значениям представляется в уполномоченный орган ежеквартально, не позднее первого числа четвертого месяца, следующего за отчетным кварталом, следующими участниками банковского конгломерата:</w:t>
      </w:r>
    </w:p>
    <w:bookmarkEnd w:id="26"/>
    <w:bookmarkStart w:name="z22" w:id="27"/>
    <w:p>
      <w:pPr>
        <w:spacing w:after="0"/>
        <w:ind w:left="0"/>
        <w:jc w:val="both"/>
      </w:pPr>
      <w:r>
        <w:rPr>
          <w:rFonts w:ascii="Times New Roman"/>
          <w:b w:val="false"/>
          <w:i w:val="false"/>
          <w:color w:val="000000"/>
          <w:sz w:val="28"/>
        </w:rPr>
        <w:t>
      банковским холдингом, имеющим прямо или косвенно зависимую организацию и (или) дочернюю организацию, являющуюся банком, который имеет дочерние организации, в том числе банк, имеющий дочерние организации;</w:t>
      </w:r>
    </w:p>
    <w:bookmarkEnd w:id="27"/>
    <w:bookmarkStart w:name="z100" w:id="28"/>
    <w:p>
      <w:pPr>
        <w:spacing w:after="0"/>
        <w:ind w:left="0"/>
        <w:jc w:val="both"/>
      </w:pPr>
      <w:r>
        <w:rPr>
          <w:rFonts w:ascii="Times New Roman"/>
          <w:b w:val="false"/>
          <w:i w:val="false"/>
          <w:color w:val="000000"/>
          <w:sz w:val="28"/>
        </w:rPr>
        <w:t>
      банком, являющимся банковским холдингом и имеющим дочерние организации, в том числе банк, который имеет дочерние организации.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Нормативные значения дополнены пунктом 3-1 в соответствии с постановлением Правления Национального Банка РК от 22.10.2014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4. Размер уставного капитала банковского конгломерата представляет собой размер уставного капитала банковского холдинга либо банка, не имеющего банковского холдинга, но имеющего дочернюю организацию, взятый в пределах оплаченных акций (долей участия), за вычетом выкупленных собственных акций (изъятого капитала).</w:t>
      </w:r>
    </w:p>
    <w:bookmarkEnd w:id="29"/>
    <w:bookmarkStart w:name="z32" w:id="30"/>
    <w:p>
      <w:pPr>
        <w:spacing w:after="0"/>
        <w:ind w:left="0"/>
        <w:jc w:val="both"/>
      </w:pPr>
      <w:r>
        <w:rPr>
          <w:rFonts w:ascii="Times New Roman"/>
          <w:b w:val="false"/>
          <w:i w:val="false"/>
          <w:color w:val="000000"/>
          <w:sz w:val="28"/>
        </w:rPr>
        <w:t>
      5. Минимальный размер уставного капитала банковского конгломерата составляет не менее ста миллионов тенге.</w:t>
      </w:r>
    </w:p>
    <w:bookmarkEnd w:id="30"/>
    <w:bookmarkStart w:name="z33" w:id="31"/>
    <w:p>
      <w:pPr>
        <w:spacing w:after="0"/>
        <w:ind w:left="0"/>
        <w:jc w:val="both"/>
      </w:pPr>
      <w:r>
        <w:rPr>
          <w:rFonts w:ascii="Times New Roman"/>
          <w:b w:val="false"/>
          <w:i w:val="false"/>
          <w:color w:val="000000"/>
          <w:sz w:val="28"/>
        </w:rPr>
        <w:t>
      6. Собственный капитал банковского конгломерата представляет собой сумму фактических размеров собственных капиталов участников банковского конгломерата.</w:t>
      </w:r>
    </w:p>
    <w:bookmarkEnd w:id="31"/>
    <w:bookmarkStart w:name="z34" w:id="32"/>
    <w:p>
      <w:pPr>
        <w:spacing w:after="0"/>
        <w:ind w:left="0"/>
        <w:jc w:val="both"/>
      </w:pPr>
      <w:r>
        <w:rPr>
          <w:rFonts w:ascii="Times New Roman"/>
          <w:b w:val="false"/>
          <w:i w:val="false"/>
          <w:color w:val="000000"/>
          <w:sz w:val="28"/>
        </w:rPr>
        <w:t>
      Для целей расчета собственного капитала банковского конгломерата из фактического размера собственного капитала участника банковского конгломерата исключаются инвестиции, представляющие собой вложения в уставный капитал юридических лиц, субординированный долг юридических лиц, а также иные вложения в собственный капитал юридических лиц.</w:t>
      </w:r>
    </w:p>
    <w:bookmarkEnd w:id="32"/>
    <w:bookmarkStart w:name="z35" w:id="33"/>
    <w:p>
      <w:pPr>
        <w:spacing w:after="0"/>
        <w:ind w:left="0"/>
        <w:jc w:val="both"/>
      </w:pPr>
      <w:r>
        <w:rPr>
          <w:rFonts w:ascii="Times New Roman"/>
          <w:b w:val="false"/>
          <w:i w:val="false"/>
          <w:color w:val="000000"/>
          <w:sz w:val="28"/>
        </w:rPr>
        <w:t xml:space="preserve">
      Сумма инвестиций, исключенная из фактического размера собственного капитала участника банковского конгломерата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к платежеспособности (достаточности собственного капитала) участника банковского конгломерата, в инвестиции, указанные в данном пункте, не включается.</w:t>
      </w:r>
    </w:p>
    <w:bookmarkEnd w:id="33"/>
    <w:bookmarkStart w:name="z36" w:id="34"/>
    <w:p>
      <w:pPr>
        <w:spacing w:after="0"/>
        <w:ind w:left="0"/>
        <w:jc w:val="both"/>
      </w:pPr>
      <w:r>
        <w:rPr>
          <w:rFonts w:ascii="Times New Roman"/>
          <w:b w:val="false"/>
          <w:i w:val="false"/>
          <w:color w:val="000000"/>
          <w:sz w:val="28"/>
        </w:rPr>
        <w:t xml:space="preserve">
      7. Фактический размер собственного капитала участника банковского конгломерата представляет собой величину, сформированную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к платежеспособности (достаточности собственного капитала) участника банковского конгломерата.</w:t>
      </w:r>
    </w:p>
    <w:bookmarkEnd w:id="34"/>
    <w:bookmarkStart w:name="z37" w:id="35"/>
    <w:p>
      <w:pPr>
        <w:spacing w:after="0"/>
        <w:ind w:left="0"/>
        <w:jc w:val="both"/>
      </w:pPr>
      <w:r>
        <w:rPr>
          <w:rFonts w:ascii="Times New Roman"/>
          <w:b w:val="false"/>
          <w:i w:val="false"/>
          <w:color w:val="000000"/>
          <w:sz w:val="28"/>
        </w:rPr>
        <w:t>
      Порядок расчета фактического размера собственного капитала участника банковского конгломерата определяется в соответствии с законодательством Республики Казахстан.</w:t>
      </w:r>
    </w:p>
    <w:bookmarkEnd w:id="35"/>
    <w:bookmarkStart w:name="z38" w:id="36"/>
    <w:p>
      <w:pPr>
        <w:spacing w:after="0"/>
        <w:ind w:left="0"/>
        <w:jc w:val="both"/>
      </w:pPr>
      <w:r>
        <w:rPr>
          <w:rFonts w:ascii="Times New Roman"/>
          <w:b w:val="false"/>
          <w:i w:val="false"/>
          <w:color w:val="000000"/>
          <w:sz w:val="28"/>
        </w:rPr>
        <w:t>
      Если в отношении участника банковского конгломерата не установлен порядок расчета фактического размера собственного капитала, указанного в данном пункте, то фактический размер собственного капитала определяется на основании финансовой отчетности как разница между активами и обязательствами участника.</w:t>
      </w:r>
    </w:p>
    <w:bookmarkEnd w:id="36"/>
    <w:bookmarkStart w:name="z39" w:id="37"/>
    <w:p>
      <w:pPr>
        <w:spacing w:after="0"/>
        <w:ind w:left="0"/>
        <w:jc w:val="both"/>
      </w:pPr>
      <w:r>
        <w:rPr>
          <w:rFonts w:ascii="Times New Roman"/>
          <w:b w:val="false"/>
          <w:i w:val="false"/>
          <w:color w:val="000000"/>
          <w:sz w:val="28"/>
        </w:rPr>
        <w:t>
      8. Фактический размер собственного капитала участника банковского конгломерата, являющегося нерезидентом Республики Казахстан, определяется нормативными правовыми актами уполномоченного органа соответствующего государства, регулирующего его деятельность в стране его нахождения.</w:t>
      </w:r>
    </w:p>
    <w:bookmarkEnd w:id="37"/>
    <w:bookmarkStart w:name="z40" w:id="38"/>
    <w:p>
      <w:pPr>
        <w:spacing w:after="0"/>
        <w:ind w:left="0"/>
        <w:jc w:val="both"/>
      </w:pPr>
      <w:r>
        <w:rPr>
          <w:rFonts w:ascii="Times New Roman"/>
          <w:b w:val="false"/>
          <w:i w:val="false"/>
          <w:color w:val="000000"/>
          <w:sz w:val="28"/>
        </w:rPr>
        <w:t xml:space="preserve">
      Если в отношении участника банковского конгломерата, являющегося нерезидентом Республики Казахстан, не установлен порядок расчета фактического размера собственного капитала уполномоченным органом соответствующего государства, регулирующим его деятельность в стране его нахождения, то фактический размер собственного капитала определяется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Нормативным значениям.</w:t>
      </w:r>
    </w:p>
    <w:bookmarkEnd w:id="38"/>
    <w:bookmarkStart w:name="z41" w:id="39"/>
    <w:p>
      <w:pPr>
        <w:spacing w:after="0"/>
        <w:ind w:left="0"/>
        <w:jc w:val="both"/>
      </w:pPr>
      <w:r>
        <w:rPr>
          <w:rFonts w:ascii="Times New Roman"/>
          <w:b w:val="false"/>
          <w:i w:val="false"/>
          <w:color w:val="000000"/>
          <w:sz w:val="28"/>
        </w:rPr>
        <w:t>
      9. Коэффициент достаточности собственного капитала банковского конгломерата рассчитывается по следующей формуле:</w:t>
      </w:r>
    </w:p>
    <w:bookmarkEnd w:id="39"/>
    <w:p>
      <w:pPr>
        <w:spacing w:after="0"/>
        <w:ind w:left="0"/>
        <w:jc w:val="both"/>
      </w:pPr>
      <w:r>
        <w:rPr>
          <w:rFonts w:ascii="Times New Roman"/>
          <w:b w:val="false"/>
          <w:i w:val="false"/>
          <w:color w:val="000000"/>
          <w:sz w:val="28"/>
        </w:rPr>
        <w:t>
      К = СК / А, где</w:t>
      </w:r>
    </w:p>
    <w:bookmarkStart w:name="z42" w:id="40"/>
    <w:p>
      <w:pPr>
        <w:spacing w:after="0"/>
        <w:ind w:left="0"/>
        <w:jc w:val="both"/>
      </w:pPr>
      <w:r>
        <w:rPr>
          <w:rFonts w:ascii="Times New Roman"/>
          <w:b w:val="false"/>
          <w:i w:val="false"/>
          <w:color w:val="000000"/>
          <w:sz w:val="28"/>
        </w:rPr>
        <w:t>
      К - коэффициент достаточности собственного капитала;</w:t>
      </w:r>
    </w:p>
    <w:bookmarkEnd w:id="40"/>
    <w:bookmarkStart w:name="z43" w:id="41"/>
    <w:p>
      <w:pPr>
        <w:spacing w:after="0"/>
        <w:ind w:left="0"/>
        <w:jc w:val="both"/>
      </w:pPr>
      <w:r>
        <w:rPr>
          <w:rFonts w:ascii="Times New Roman"/>
          <w:b w:val="false"/>
          <w:i w:val="false"/>
          <w:color w:val="000000"/>
          <w:sz w:val="28"/>
        </w:rPr>
        <w:t>
      СК - собственный капитал банковского конгломерата;</w:t>
      </w:r>
    </w:p>
    <w:bookmarkEnd w:id="41"/>
    <w:bookmarkStart w:name="z44" w:id="42"/>
    <w:p>
      <w:pPr>
        <w:spacing w:after="0"/>
        <w:ind w:left="0"/>
        <w:jc w:val="both"/>
      </w:pPr>
      <w:r>
        <w:rPr>
          <w:rFonts w:ascii="Times New Roman"/>
          <w:b w:val="false"/>
          <w:i w:val="false"/>
          <w:color w:val="000000"/>
          <w:sz w:val="28"/>
        </w:rPr>
        <w:t>
      А - сумма активов, условных и возможных обязательств участников банковского конгломерата, взвешенных по степени риска.</w:t>
      </w:r>
    </w:p>
    <w:bookmarkEnd w:id="42"/>
    <w:bookmarkStart w:name="z45" w:id="43"/>
    <w:p>
      <w:pPr>
        <w:spacing w:after="0"/>
        <w:ind w:left="0"/>
        <w:jc w:val="both"/>
      </w:pPr>
      <w:r>
        <w:rPr>
          <w:rFonts w:ascii="Times New Roman"/>
          <w:b w:val="false"/>
          <w:i w:val="false"/>
          <w:color w:val="000000"/>
          <w:sz w:val="28"/>
        </w:rPr>
        <w:t>
      Активы, условные и возможные обязательства участников банковского конгломерата взвешиваются по степени кредитного риска вложений (для банка - по степени риска) в соответствии с Инструкцией № 358.</w:t>
      </w:r>
    </w:p>
    <w:bookmarkEnd w:id="43"/>
    <w:bookmarkStart w:name="z46" w:id="44"/>
    <w:p>
      <w:pPr>
        <w:spacing w:after="0"/>
        <w:ind w:left="0"/>
        <w:jc w:val="both"/>
      </w:pPr>
      <w:r>
        <w:rPr>
          <w:rFonts w:ascii="Times New Roman"/>
          <w:b w:val="false"/>
          <w:i w:val="false"/>
          <w:color w:val="000000"/>
          <w:sz w:val="28"/>
        </w:rPr>
        <w:t>
      При взвешивании активов, условных и возможных обязательств участника банковского конгломерата - нерезидента Республики Казахстан, требования к лицам, расположенным в стране местонахождения участника банковского конгломерата, взвешиваются по степени риска вложений как требования к лицам - резидентам.</w:t>
      </w:r>
    </w:p>
    <w:bookmarkEnd w:id="44"/>
    <w:bookmarkStart w:name="z47" w:id="45"/>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специальных резервов (провизий).</w:t>
      </w:r>
    </w:p>
    <w:bookmarkEnd w:id="45"/>
    <w:bookmarkStart w:name="z48" w:id="46"/>
    <w:p>
      <w:pPr>
        <w:spacing w:after="0"/>
        <w:ind w:left="0"/>
        <w:jc w:val="both"/>
      </w:pPr>
      <w:r>
        <w:rPr>
          <w:rFonts w:ascii="Times New Roman"/>
          <w:b w:val="false"/>
          <w:i w:val="false"/>
          <w:color w:val="000000"/>
          <w:sz w:val="28"/>
        </w:rPr>
        <w:t>
      В расчет суммы активов, условных и возможных обязательств участников банковского конгломерата, взвешиваемых по степени риска, не включаются требования участников банковского конгломерата друг к другу.</w:t>
      </w:r>
    </w:p>
    <w:bookmarkEnd w:id="46"/>
    <w:bookmarkStart w:name="z49" w:id="47"/>
    <w:p>
      <w:pPr>
        <w:spacing w:after="0"/>
        <w:ind w:left="0"/>
        <w:jc w:val="both"/>
      </w:pPr>
      <w:r>
        <w:rPr>
          <w:rFonts w:ascii="Times New Roman"/>
          <w:b w:val="false"/>
          <w:i w:val="false"/>
          <w:color w:val="000000"/>
          <w:sz w:val="28"/>
        </w:rPr>
        <w:t>
      10. Коэффициент достаточности собственного капитала банковского конгломерата устанавливается в следующих размерах:</w:t>
      </w:r>
    </w:p>
    <w:bookmarkEnd w:id="47"/>
    <w:p>
      <w:pPr>
        <w:spacing w:after="0"/>
        <w:ind w:left="0"/>
        <w:jc w:val="both"/>
      </w:pPr>
      <w:r>
        <w:rPr>
          <w:rFonts w:ascii="Times New Roman"/>
          <w:b w:val="false"/>
          <w:i w:val="false"/>
          <w:color w:val="000000"/>
          <w:sz w:val="28"/>
        </w:rPr>
        <w:t>
      с 1 января 2015 года не менее 0,075 (включительно);</w:t>
      </w:r>
    </w:p>
    <w:p>
      <w:pPr>
        <w:spacing w:after="0"/>
        <w:ind w:left="0"/>
        <w:jc w:val="both"/>
      </w:pPr>
      <w:r>
        <w:rPr>
          <w:rFonts w:ascii="Times New Roman"/>
          <w:b w:val="false"/>
          <w:i w:val="false"/>
          <w:color w:val="000000"/>
          <w:sz w:val="28"/>
        </w:rPr>
        <w:t>
      с 1 января 2016 года не менее 0,08 (включительно);</w:t>
      </w:r>
    </w:p>
    <w:p>
      <w:pPr>
        <w:spacing w:after="0"/>
        <w:ind w:left="0"/>
        <w:jc w:val="both"/>
      </w:pPr>
      <w:r>
        <w:rPr>
          <w:rFonts w:ascii="Times New Roman"/>
          <w:b w:val="false"/>
          <w:i w:val="false"/>
          <w:color w:val="000000"/>
          <w:sz w:val="28"/>
        </w:rPr>
        <w:t>
      с 1 января 2017 года не менее 0,09 (включительно);</w:t>
      </w:r>
    </w:p>
    <w:p>
      <w:pPr>
        <w:spacing w:after="0"/>
        <w:ind w:left="0"/>
        <w:jc w:val="both"/>
      </w:pPr>
      <w:r>
        <w:rPr>
          <w:rFonts w:ascii="Times New Roman"/>
          <w:b w:val="false"/>
          <w:i w:val="false"/>
          <w:color w:val="000000"/>
          <w:sz w:val="28"/>
        </w:rPr>
        <w:t>
      с 1 января 2018 года не менее 0,10 (включительно);</w:t>
      </w:r>
    </w:p>
    <w:p>
      <w:pPr>
        <w:spacing w:after="0"/>
        <w:ind w:left="0"/>
        <w:jc w:val="both"/>
      </w:pPr>
      <w:r>
        <w:rPr>
          <w:rFonts w:ascii="Times New Roman"/>
          <w:b w:val="false"/>
          <w:i w:val="false"/>
          <w:color w:val="000000"/>
          <w:sz w:val="28"/>
        </w:rPr>
        <w:t>
      с 1 января 2019 года не менее 0,12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17.07.2015 </w:t>
      </w:r>
      <w:r>
        <w:rPr>
          <w:rFonts w:ascii="Times New Roman"/>
          <w:b w:val="false"/>
          <w:i w:val="false"/>
          <w:color w:val="ff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11. Максимальный размер риска на одного заемщика банковского конгломерата рассчитывается по следующей формуле:</w:t>
      </w:r>
    </w:p>
    <w:bookmarkEnd w:id="48"/>
    <w:p>
      <w:pPr>
        <w:spacing w:after="0"/>
        <w:ind w:left="0"/>
        <w:jc w:val="both"/>
      </w:pPr>
      <w:r>
        <w:rPr>
          <w:rFonts w:ascii="Times New Roman"/>
          <w:b w:val="false"/>
          <w:i w:val="false"/>
          <w:color w:val="000000"/>
          <w:sz w:val="28"/>
        </w:rPr>
        <w:t>
      МР=Р/СК, где</w:t>
      </w:r>
    </w:p>
    <w:bookmarkStart w:name="z55" w:id="49"/>
    <w:p>
      <w:pPr>
        <w:spacing w:after="0"/>
        <w:ind w:left="0"/>
        <w:jc w:val="both"/>
      </w:pPr>
      <w:r>
        <w:rPr>
          <w:rFonts w:ascii="Times New Roman"/>
          <w:b w:val="false"/>
          <w:i w:val="false"/>
          <w:color w:val="000000"/>
          <w:sz w:val="28"/>
        </w:rPr>
        <w:t>
      МР - максимальный размер риска на одного заемщика банковского конгломерата;</w:t>
      </w:r>
    </w:p>
    <w:bookmarkEnd w:id="49"/>
    <w:bookmarkStart w:name="z56" w:id="50"/>
    <w:p>
      <w:pPr>
        <w:spacing w:after="0"/>
        <w:ind w:left="0"/>
        <w:jc w:val="both"/>
      </w:pPr>
      <w:r>
        <w:rPr>
          <w:rFonts w:ascii="Times New Roman"/>
          <w:b w:val="false"/>
          <w:i w:val="false"/>
          <w:color w:val="000000"/>
          <w:sz w:val="28"/>
        </w:rPr>
        <w:t xml:space="preserve">
      Р - размер риска на одного заемщика банковского конгломерата; </w:t>
      </w:r>
    </w:p>
    <w:bookmarkEnd w:id="50"/>
    <w:bookmarkStart w:name="z57" w:id="51"/>
    <w:p>
      <w:pPr>
        <w:spacing w:after="0"/>
        <w:ind w:left="0"/>
        <w:jc w:val="both"/>
      </w:pPr>
      <w:r>
        <w:rPr>
          <w:rFonts w:ascii="Times New Roman"/>
          <w:b w:val="false"/>
          <w:i w:val="false"/>
          <w:color w:val="000000"/>
          <w:sz w:val="28"/>
        </w:rPr>
        <w:t>
      СК - собственный капитал банковского конгломерата.</w:t>
      </w:r>
    </w:p>
    <w:bookmarkEnd w:id="51"/>
    <w:bookmarkStart w:name="z58" w:id="52"/>
    <w:p>
      <w:pPr>
        <w:spacing w:after="0"/>
        <w:ind w:left="0"/>
        <w:jc w:val="both"/>
      </w:pPr>
      <w:r>
        <w:rPr>
          <w:rFonts w:ascii="Times New Roman"/>
          <w:b w:val="false"/>
          <w:i w:val="false"/>
          <w:color w:val="000000"/>
          <w:sz w:val="28"/>
        </w:rPr>
        <w:t>
      12. Размер риска на одного заемщика рассчитывается аналогично установленными требованиями Инструкции № 358.</w:t>
      </w:r>
    </w:p>
    <w:bookmarkEnd w:id="52"/>
    <w:bookmarkStart w:name="z59" w:id="53"/>
    <w:p>
      <w:pPr>
        <w:spacing w:after="0"/>
        <w:ind w:left="0"/>
        <w:jc w:val="both"/>
      </w:pPr>
      <w:r>
        <w:rPr>
          <w:rFonts w:ascii="Times New Roman"/>
          <w:b w:val="false"/>
          <w:i w:val="false"/>
          <w:color w:val="000000"/>
          <w:sz w:val="28"/>
        </w:rPr>
        <w:t>
      В размер риска на одного заемщика не включаются требования участников банковского конгломерата друг к другу.</w:t>
      </w:r>
    </w:p>
    <w:bookmarkEnd w:id="53"/>
    <w:bookmarkStart w:name="z60" w:id="54"/>
    <w:p>
      <w:pPr>
        <w:spacing w:after="0"/>
        <w:ind w:left="0"/>
        <w:jc w:val="both"/>
      </w:pPr>
      <w:r>
        <w:rPr>
          <w:rFonts w:ascii="Times New Roman"/>
          <w:b w:val="false"/>
          <w:i w:val="false"/>
          <w:color w:val="000000"/>
          <w:sz w:val="28"/>
        </w:rPr>
        <w:t>
      13. Максимальный размер риска на одного заемщика не превышает:</w:t>
      </w:r>
    </w:p>
    <w:bookmarkEnd w:id="54"/>
    <w:bookmarkStart w:name="z61" w:id="55"/>
    <w:p>
      <w:pPr>
        <w:spacing w:after="0"/>
        <w:ind w:left="0"/>
        <w:jc w:val="both"/>
      </w:pPr>
      <w:r>
        <w:rPr>
          <w:rFonts w:ascii="Times New Roman"/>
          <w:b w:val="false"/>
          <w:i w:val="false"/>
          <w:color w:val="000000"/>
          <w:sz w:val="28"/>
        </w:rPr>
        <w:t>
      1) 25 (двадцати пяти) процентов от собственного капитала банковского конгломерата для прочих заемщиков (в том числе не более 0,10 от собственного капитала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агентств Moody's Investors Service и Fitch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агентств Moody's Investors Service и Fitch);</w:t>
      </w:r>
    </w:p>
    <w:bookmarkEnd w:id="55"/>
    <w:bookmarkStart w:name="z62" w:id="56"/>
    <w:p>
      <w:pPr>
        <w:spacing w:after="0"/>
        <w:ind w:left="0"/>
        <w:jc w:val="both"/>
      </w:pPr>
      <w:r>
        <w:rPr>
          <w:rFonts w:ascii="Times New Roman"/>
          <w:b w:val="false"/>
          <w:i w:val="false"/>
          <w:color w:val="000000"/>
          <w:sz w:val="28"/>
        </w:rPr>
        <w:t>
      2) 10 (десяти) процентов от собственного капитала банковского конгломерата лицу, являющемуся:</w:t>
      </w:r>
    </w:p>
    <w:bookmarkEnd w:id="56"/>
    <w:bookmarkStart w:name="z63" w:id="57"/>
    <w:p>
      <w:pPr>
        <w:spacing w:after="0"/>
        <w:ind w:left="0"/>
        <w:jc w:val="both"/>
      </w:pPr>
      <w:r>
        <w:rPr>
          <w:rFonts w:ascii="Times New Roman"/>
          <w:b w:val="false"/>
          <w:i w:val="false"/>
          <w:color w:val="000000"/>
          <w:sz w:val="28"/>
        </w:rPr>
        <w:t>
      должностным лицом или руководящим работником участника банковского конгломерата, а также их близкими родственниками;</w:t>
      </w:r>
    </w:p>
    <w:bookmarkEnd w:id="57"/>
    <w:bookmarkStart w:name="z64" w:id="58"/>
    <w:p>
      <w:pPr>
        <w:spacing w:after="0"/>
        <w:ind w:left="0"/>
        <w:jc w:val="both"/>
      </w:pPr>
      <w:r>
        <w:rPr>
          <w:rFonts w:ascii="Times New Roman"/>
          <w:b w:val="false"/>
          <w:i w:val="false"/>
          <w:color w:val="000000"/>
          <w:sz w:val="28"/>
        </w:rPr>
        <w:t>
      крупным участником участника банковского конгломерата, а также близким родственником крупного участника - физического лица, или близким родственником первого руководителя крупного участника - юридического лица;</w:t>
      </w:r>
    </w:p>
    <w:bookmarkEnd w:id="58"/>
    <w:bookmarkStart w:name="z65" w:id="59"/>
    <w:p>
      <w:pPr>
        <w:spacing w:after="0"/>
        <w:ind w:left="0"/>
        <w:jc w:val="both"/>
      </w:pPr>
      <w:r>
        <w:rPr>
          <w:rFonts w:ascii="Times New Roman"/>
          <w:b w:val="false"/>
          <w:i w:val="false"/>
          <w:color w:val="000000"/>
          <w:sz w:val="28"/>
        </w:rPr>
        <w:t>
      юридическим лицом, которое прямо или косвенно (посредством участия в уставном капитале юридических лиц) контролируется лицами, указанными в абзацах третьем и четвертом настоящего пункта, либо в котором, указанные лица владеют двадцатью пятью и более процентами голосующих акций (долей участия);</w:t>
      </w:r>
    </w:p>
    <w:bookmarkEnd w:id="59"/>
    <w:bookmarkStart w:name="z66" w:id="60"/>
    <w:p>
      <w:pPr>
        <w:spacing w:after="0"/>
        <w:ind w:left="0"/>
        <w:jc w:val="both"/>
      </w:pPr>
      <w:r>
        <w:rPr>
          <w:rFonts w:ascii="Times New Roman"/>
          <w:b w:val="false"/>
          <w:i w:val="false"/>
          <w:color w:val="000000"/>
          <w:sz w:val="28"/>
        </w:rPr>
        <w:t>
      юридическим лицом, которое прямо или косвенно (посредством участия в уставном капитале юридических лиц) контролируется участниками банковского конгломерата либо лицом, в котором участник банковского конгломерата владеет двадцатью пятью или более процентами голосующих акций (долей участия), должностными лицами данного лица, их близкие родственники.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22.10.2014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14. Сумма рисков участников банковского конгломерата на одного заемщика, размер каждого из которых превышает десять процентов от собственного капитала банковского конгломерата, не превышает размер собственного капитала банковского конгломерата более чем в восемь раз.</w:t>
      </w:r>
    </w:p>
    <w:bookmarkEnd w:id="61"/>
    <w:bookmarkStart w:name="z68" w:id="62"/>
    <w:p>
      <w:pPr>
        <w:spacing w:after="0"/>
        <w:ind w:left="0"/>
        <w:jc w:val="both"/>
      </w:pPr>
      <w:r>
        <w:rPr>
          <w:rFonts w:ascii="Times New Roman"/>
          <w:b w:val="false"/>
          <w:i w:val="false"/>
          <w:color w:val="000000"/>
          <w:sz w:val="28"/>
        </w:rPr>
        <w:t>
      15. Если общий объем требований участников банковского конгломерата к заемщику на предыдущую отчетную дату находился в пределах ограничений, установленных Нормативными значениями, но впоследствии превысил указанные ограничения в связи со снижением уровня собственного капитала банковского конгломерата не более чем на пять процентов в течение периода с предыдущей отчетной даты, либо в связи с увеличением требований банковского конгломерата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периода с предыдущей отчетной даты, норматив максимального размера риска на одного заемщика считается выполненным.</w:t>
      </w:r>
    </w:p>
    <w:bookmarkEnd w:id="62"/>
    <w:bookmarkStart w:name="z69" w:id="63"/>
    <w:p>
      <w:pPr>
        <w:spacing w:after="0"/>
        <w:ind w:left="0"/>
        <w:jc w:val="both"/>
      </w:pPr>
      <w:r>
        <w:rPr>
          <w:rFonts w:ascii="Times New Roman"/>
          <w:b w:val="false"/>
          <w:i w:val="false"/>
          <w:color w:val="000000"/>
          <w:sz w:val="28"/>
        </w:rPr>
        <w:t>
      В указанных случаях банковский холдинг или банк, не имеющий банковского холдинга, но имеющий дочернюю организацию в течение дня, следующего за днем возникновения вышеуказанного превышения, информирует уполномоченный орган о факте превышения ограничений и принимает обязательства по устранению превышения в течение периода до следующей отчетной даты.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лимитов для банковского</w:t>
            </w:r>
            <w:r>
              <w:br/>
            </w:r>
            <w:r>
              <w:rPr>
                <w:rFonts w:ascii="Times New Roman"/>
                <w:b w:val="false"/>
                <w:i w:val="false"/>
                <w:color w:val="000000"/>
                <w:sz w:val="20"/>
              </w:rPr>
              <w:t>конгломерата, а также формам и срокам</w:t>
            </w:r>
            <w:r>
              <w:br/>
            </w:r>
            <w:r>
              <w:rPr>
                <w:rFonts w:ascii="Times New Roman"/>
                <w:b w:val="false"/>
                <w:i w:val="false"/>
                <w:color w:val="000000"/>
                <w:sz w:val="20"/>
              </w:rPr>
              <w:t>представления отчетности</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22.10.2014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71" w:id="64"/>
    <w:p>
      <w:pPr>
        <w:spacing w:after="0"/>
        <w:ind w:left="0"/>
        <w:jc w:val="left"/>
      </w:pPr>
      <w:r>
        <w:rPr>
          <w:rFonts w:ascii="Times New Roman"/>
          <w:b/>
          <w:i w:val="false"/>
          <w:color w:val="000000"/>
        </w:rPr>
        <w:t xml:space="preserve"> Отчет о выполнении пруденциальных</w:t>
      </w:r>
      <w:r>
        <w:br/>
      </w:r>
      <w:r>
        <w:rPr>
          <w:rFonts w:ascii="Times New Roman"/>
          <w:b/>
          <w:i w:val="false"/>
          <w:color w:val="000000"/>
        </w:rPr>
        <w:t>нормативов банковским конгломератом</w:t>
      </w:r>
    </w:p>
    <w:bookmarkEnd w:id="6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банковского холдинга либо банка, не имеющего</w:t>
      </w:r>
    </w:p>
    <w:p>
      <w:pPr>
        <w:spacing w:after="0"/>
        <w:ind w:left="0"/>
        <w:jc w:val="both"/>
      </w:pPr>
      <w:r>
        <w:rPr>
          <w:rFonts w:ascii="Times New Roman"/>
          <w:b w:val="false"/>
          <w:i w:val="false"/>
          <w:color w:val="000000"/>
          <w:sz w:val="28"/>
        </w:rPr>
        <w:t>
      банковского холдинга, но имеющего дочернюю организацию)</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по состоянию на _______ 20__г.</w:t>
      </w:r>
    </w:p>
    <w:bookmarkStart w:name="z72" w:id="65"/>
    <w:p>
      <w:pPr>
        <w:spacing w:after="0"/>
        <w:ind w:left="0"/>
        <w:jc w:val="both"/>
      </w:pPr>
      <w:r>
        <w:rPr>
          <w:rFonts w:ascii="Times New Roman"/>
          <w:b w:val="false"/>
          <w:i w:val="false"/>
          <w:color w:val="000000"/>
          <w:sz w:val="28"/>
        </w:rPr>
        <w:t>
      Таблица 1</w:t>
      </w:r>
    </w:p>
    <w:bookmarkEnd w:id="65"/>
    <w:bookmarkStart w:name="z73" w:id="66"/>
    <w:p>
      <w:pPr>
        <w:spacing w:after="0"/>
        <w:ind w:left="0"/>
        <w:jc w:val="left"/>
      </w:pPr>
      <w:r>
        <w:rPr>
          <w:rFonts w:ascii="Times New Roman"/>
          <w:b/>
          <w:i w:val="false"/>
          <w:color w:val="000000"/>
        </w:rPr>
        <w:t xml:space="preserve"> Расчет уставного капитала банковского конгломерата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0"/>
        <w:gridCol w:w="3130"/>
      </w:tblGrid>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 банковского холдинга либо банка, не имеющего банковского холдинга, но имеющего дочернюю организацию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(изъятый капитал) акции банковского холдинга либо банка, не имеющего банковского холдинга, но имеющего дочернюю организацию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Таблица 2</w:t>
      </w:r>
    </w:p>
    <w:bookmarkEnd w:id="67"/>
    <w:bookmarkStart w:name="z75" w:id="68"/>
    <w:p>
      <w:pPr>
        <w:spacing w:after="0"/>
        <w:ind w:left="0"/>
        <w:jc w:val="left"/>
      </w:pPr>
      <w:r>
        <w:rPr>
          <w:rFonts w:ascii="Times New Roman"/>
          <w:b/>
          <w:i w:val="false"/>
          <w:color w:val="000000"/>
        </w:rPr>
        <w:t xml:space="preserve"> Расчет коэффициента достаточности собственного капитала</w:t>
      </w:r>
      <w:r>
        <w:br/>
      </w:r>
      <w:r>
        <w:rPr>
          <w:rFonts w:ascii="Times New Roman"/>
          <w:b/>
          <w:i w:val="false"/>
          <w:color w:val="000000"/>
        </w:rPr>
        <w:t>банковского конгломерата</w:t>
      </w:r>
    </w:p>
    <w:bookmarkEnd w:id="68"/>
    <w:p>
      <w:pPr>
        <w:spacing w:after="0"/>
        <w:ind w:left="0"/>
        <w:jc w:val="both"/>
      </w:pPr>
      <w:r>
        <w:rPr>
          <w:rFonts w:ascii="Times New Roman"/>
          <w:b w:val="false"/>
          <w:i w:val="false"/>
          <w:color w:val="000000"/>
          <w:sz w:val="28"/>
        </w:rPr>
        <w:t>
      Коэффициент достаточности собственного</w:t>
      </w:r>
    </w:p>
    <w:p>
      <w:pPr>
        <w:spacing w:after="0"/>
        <w:ind w:left="0"/>
        <w:jc w:val="both"/>
      </w:pPr>
      <w:r>
        <w:rPr>
          <w:rFonts w:ascii="Times New Roman"/>
          <w:b w:val="false"/>
          <w:i w:val="false"/>
          <w:color w:val="000000"/>
          <w:sz w:val="28"/>
        </w:rPr>
        <w:t>
      капитала банковского конгломерата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5607"/>
        <w:gridCol w:w="2646"/>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(тысячах тенге)</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1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2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n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n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n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n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взвешенных по степени риска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102" w:id="69"/>
    <w:p>
      <w:pPr>
        <w:spacing w:after="0"/>
        <w:ind w:left="0"/>
        <w:jc w:val="both"/>
      </w:pPr>
      <w:r>
        <w:rPr>
          <w:rFonts w:ascii="Times New Roman"/>
          <w:b w:val="false"/>
          <w:i w:val="false"/>
          <w:color w:val="000000"/>
          <w:sz w:val="28"/>
        </w:rPr>
        <w:t>
      строка "Фактический размер собственного капитала участника банковского конгломерата (за вычетом инвестиций)" равна строке "Фактический размер собственного капитала участника банковского конгломерата" за вычетом строки "Инвестиции участника банковского конгломерата в капитал";</w:t>
      </w:r>
    </w:p>
    <w:bookmarkEnd w:id="69"/>
    <w:bookmarkStart w:name="z103" w:id="70"/>
    <w:p>
      <w:pPr>
        <w:spacing w:after="0"/>
        <w:ind w:left="0"/>
        <w:jc w:val="both"/>
      </w:pPr>
      <w:r>
        <w:rPr>
          <w:rFonts w:ascii="Times New Roman"/>
          <w:b w:val="false"/>
          <w:i w:val="false"/>
          <w:color w:val="000000"/>
          <w:sz w:val="28"/>
        </w:rPr>
        <w:t>
      строка "Инвестиции участника банковского конгломерата в капитал" равна сумме строк 1.1.1, …, 1.1.n;</w:t>
      </w:r>
    </w:p>
    <w:bookmarkEnd w:id="70"/>
    <w:bookmarkStart w:name="z104" w:id="71"/>
    <w:p>
      <w:pPr>
        <w:spacing w:after="0"/>
        <w:ind w:left="0"/>
        <w:jc w:val="both"/>
      </w:pPr>
      <w:r>
        <w:rPr>
          <w:rFonts w:ascii="Times New Roman"/>
          <w:b w:val="false"/>
          <w:i w:val="false"/>
          <w:color w:val="000000"/>
          <w:sz w:val="28"/>
        </w:rPr>
        <w:t xml:space="preserve">
      строка "Фактический размер собственного капитала банковского конгломерата" представляет собой сумму строк 1.2,…,n.2. </w:t>
      </w:r>
    </w:p>
    <w:bookmarkEnd w:id="71"/>
    <w:bookmarkStart w:name="z77" w:id="72"/>
    <w:p>
      <w:pPr>
        <w:spacing w:after="0"/>
        <w:ind w:left="0"/>
        <w:jc w:val="both"/>
      </w:pPr>
      <w:r>
        <w:rPr>
          <w:rFonts w:ascii="Times New Roman"/>
          <w:b w:val="false"/>
          <w:i w:val="false"/>
          <w:color w:val="000000"/>
          <w:sz w:val="28"/>
        </w:rPr>
        <w:t>
      Таблица 3</w:t>
      </w:r>
    </w:p>
    <w:bookmarkEnd w:id="72"/>
    <w:bookmarkStart w:name="z78" w:id="73"/>
    <w:p>
      <w:pPr>
        <w:spacing w:after="0"/>
        <w:ind w:left="0"/>
        <w:jc w:val="left"/>
      </w:pPr>
      <w:r>
        <w:rPr>
          <w:rFonts w:ascii="Times New Roman"/>
          <w:b/>
          <w:i w:val="false"/>
          <w:color w:val="000000"/>
        </w:rPr>
        <w:t xml:space="preserve"> Расчет максимального размера риска на одного заемщика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9"/>
        <w:gridCol w:w="340"/>
        <w:gridCol w:w="354"/>
        <w:gridCol w:w="107"/>
        <w:gridCol w:w="340"/>
        <w:gridCol w:w="300"/>
      </w:tblGrid>
      <w:tr>
        <w:trPr>
          <w:trHeight w:val="30" w:hRule="atLeast"/>
        </w:trPr>
        <w:tc>
          <w:tcPr>
            <w:tcW w:w="10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должника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 (займ, гарантия)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агентств Moody's Investors Service и Fitch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агентств Moody's Investors Service и Fitch)</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Исполнитель (подпись, номер телефона)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лимитов для банковского</w:t>
            </w:r>
            <w:r>
              <w:br/>
            </w:r>
            <w:r>
              <w:rPr>
                <w:rFonts w:ascii="Times New Roman"/>
                <w:b w:val="false"/>
                <w:i w:val="false"/>
                <w:color w:val="000000"/>
                <w:sz w:val="20"/>
              </w:rPr>
              <w:t>конгломерата, а также формам и срокам</w:t>
            </w:r>
            <w:r>
              <w:br/>
            </w:r>
            <w:r>
              <w:rPr>
                <w:rFonts w:ascii="Times New Roman"/>
                <w:b w:val="false"/>
                <w:i w:val="false"/>
                <w:color w:val="000000"/>
                <w:sz w:val="20"/>
              </w:rPr>
              <w:t>представления отчетности</w:t>
            </w:r>
          </w:p>
        </w:tc>
      </w:tr>
    </w:tbl>
    <w:bookmarkStart w:name="z80" w:id="74"/>
    <w:p>
      <w:pPr>
        <w:spacing w:after="0"/>
        <w:ind w:left="0"/>
        <w:jc w:val="both"/>
      </w:pPr>
      <w:r>
        <w:rPr>
          <w:rFonts w:ascii="Times New Roman"/>
          <w:b w:val="false"/>
          <w:i w:val="false"/>
          <w:color w:val="000000"/>
          <w:sz w:val="28"/>
        </w:rPr>
        <w:t>
      Форма</w:t>
      </w:r>
    </w:p>
    <w:bookmarkEnd w:id="74"/>
    <w:bookmarkStart w:name="z81" w:id="75"/>
    <w:p>
      <w:pPr>
        <w:spacing w:after="0"/>
        <w:ind w:left="0"/>
        <w:jc w:val="both"/>
      </w:pPr>
      <w:r>
        <w:rPr>
          <w:rFonts w:ascii="Times New Roman"/>
          <w:b w:val="false"/>
          <w:i w:val="false"/>
          <w:color w:val="000000"/>
          <w:sz w:val="28"/>
        </w:rPr>
        <w:t>
      Таблица 1</w:t>
      </w:r>
    </w:p>
    <w:bookmarkEnd w:id="75"/>
    <w:bookmarkStart w:name="z82" w:id="76"/>
    <w:p>
      <w:pPr>
        <w:spacing w:after="0"/>
        <w:ind w:left="0"/>
        <w:jc w:val="left"/>
      </w:pPr>
      <w:r>
        <w:rPr>
          <w:rFonts w:ascii="Times New Roman"/>
          <w:b/>
          <w:i w:val="false"/>
          <w:color w:val="000000"/>
        </w:rPr>
        <w:t xml:space="preserve"> Таблица активов, условных и возможных обязательств,</w:t>
      </w:r>
      <w:r>
        <w:br/>
      </w:r>
      <w:r>
        <w:rPr>
          <w:rFonts w:ascii="Times New Roman"/>
          <w:b/>
          <w:i w:val="false"/>
          <w:color w:val="000000"/>
        </w:rPr>
        <w:t>участников банковского конгломерата взвешенных по степени</w:t>
      </w:r>
      <w:r>
        <w:br/>
      </w:r>
      <w:r>
        <w:rPr>
          <w:rFonts w:ascii="Times New Roman"/>
          <w:b/>
          <w:i w:val="false"/>
          <w:color w:val="000000"/>
        </w:rPr>
        <w:t>кредитного риска вложений</w:t>
      </w:r>
    </w:p>
    <w:bookmarkEnd w:id="76"/>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банковского конгломерата)</w:t>
      </w:r>
    </w:p>
    <w:bookmarkStart w:name="z83" w:id="77"/>
    <w:p>
      <w:pPr>
        <w:spacing w:after="0"/>
        <w:ind w:left="0"/>
        <w:jc w:val="both"/>
      </w:pPr>
      <w:r>
        <w:rPr>
          <w:rFonts w:ascii="Times New Roman"/>
          <w:b w:val="false"/>
          <w:i w:val="false"/>
          <w:color w:val="000000"/>
          <w:sz w:val="28"/>
        </w:rPr>
        <w:t>
      в тысячах тенге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763"/>
        <w:gridCol w:w="3078"/>
        <w:gridCol w:w="1187"/>
        <w:gridCol w:w="648"/>
        <w:gridCol w:w="648"/>
        <w:gridCol w:w="648"/>
        <w:gridCol w:w="1462"/>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условных и </w:t>
            </w:r>
            <w:r>
              <w:br/>
            </w:r>
            <w:r>
              <w:rPr>
                <w:rFonts w:ascii="Times New Roman"/>
                <w:b w:val="false"/>
                <w:i w:val="false"/>
                <w:color w:val="000000"/>
                <w:sz w:val="20"/>
              </w:rPr>
              <w:t xml:space="preserve">
возможных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взвешиваемых </w:t>
            </w:r>
            <w:r>
              <w:br/>
            </w:r>
            <w:r>
              <w:rPr>
                <w:rFonts w:ascii="Times New Roman"/>
                <w:b w:val="false"/>
                <w:i w:val="false"/>
                <w:color w:val="000000"/>
                <w:sz w:val="20"/>
              </w:rPr>
              <w:t xml:space="preserve">
по степени </w:t>
            </w:r>
            <w:r>
              <w:br/>
            </w:r>
            <w:r>
              <w:rPr>
                <w:rFonts w:ascii="Times New Roman"/>
                <w:b w:val="false"/>
                <w:i w:val="false"/>
                <w:color w:val="000000"/>
                <w:sz w:val="20"/>
              </w:rPr>
              <w:t xml:space="preserve">
кредитного </w:t>
            </w:r>
            <w:r>
              <w:br/>
            </w:r>
            <w:r>
              <w:rPr>
                <w:rFonts w:ascii="Times New Roman"/>
                <w:b w:val="false"/>
                <w:i w:val="false"/>
                <w:color w:val="000000"/>
                <w:sz w:val="20"/>
              </w:rPr>
              <w:t>
риска вложений</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r>
              <w:br/>
            </w:r>
            <w:r>
              <w:rPr>
                <w:rFonts w:ascii="Times New Roman"/>
                <w:b w:val="false"/>
                <w:i w:val="false"/>
                <w:color w:val="000000"/>
                <w:sz w:val="20"/>
              </w:rPr>
              <w:t xml:space="preserve">
риска в </w:t>
            </w:r>
            <w:r>
              <w:br/>
            </w:r>
            <w:r>
              <w:rPr>
                <w:rFonts w:ascii="Times New Roman"/>
                <w:b w:val="false"/>
                <w:i w:val="false"/>
                <w:color w:val="000000"/>
                <w:sz w:val="20"/>
              </w:rPr>
              <w:t>
процентах</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xml:space="preserve">
активов, </w:t>
            </w:r>
            <w:r>
              <w:br/>
            </w:r>
            <w:r>
              <w:rPr>
                <w:rFonts w:ascii="Times New Roman"/>
                <w:b w:val="false"/>
                <w:i w:val="false"/>
                <w:color w:val="000000"/>
                <w:sz w:val="20"/>
              </w:rPr>
              <w:t>
условных</w:t>
            </w:r>
            <w:r>
              <w:br/>
            </w:r>
            <w:r>
              <w:rPr>
                <w:rFonts w:ascii="Times New Roman"/>
                <w:b w:val="false"/>
                <w:i w:val="false"/>
                <w:color w:val="000000"/>
                <w:sz w:val="20"/>
              </w:rPr>
              <w:t>
и</w:t>
            </w:r>
            <w:r>
              <w:br/>
            </w:r>
            <w:r>
              <w:rPr>
                <w:rFonts w:ascii="Times New Roman"/>
                <w:b w:val="false"/>
                <w:i w:val="false"/>
                <w:color w:val="000000"/>
                <w:sz w:val="20"/>
              </w:rPr>
              <w:t>
возможных</w:t>
            </w:r>
            <w:r>
              <w:br/>
            </w:r>
            <w:r>
              <w:rPr>
                <w:rFonts w:ascii="Times New Roman"/>
                <w:b w:val="false"/>
                <w:i w:val="false"/>
                <w:color w:val="000000"/>
                <w:sz w:val="20"/>
              </w:rPr>
              <w:t>
обяза-</w:t>
            </w:r>
            <w:r>
              <w:br/>
            </w:r>
            <w:r>
              <w:rPr>
                <w:rFonts w:ascii="Times New Roman"/>
                <w:b w:val="false"/>
                <w:i w:val="false"/>
                <w:color w:val="000000"/>
                <w:sz w:val="20"/>
              </w:rPr>
              <w:t xml:space="preserve">
тельств </w:t>
            </w:r>
            <w:r>
              <w:br/>
            </w:r>
            <w:r>
              <w:rPr>
                <w:rFonts w:ascii="Times New Roman"/>
                <w:b w:val="false"/>
                <w:i w:val="false"/>
                <w:color w:val="000000"/>
                <w:sz w:val="20"/>
              </w:rPr>
              <w:t>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активов, </w:t>
            </w:r>
            <w:r>
              <w:br/>
            </w:r>
            <w:r>
              <w:rPr>
                <w:rFonts w:ascii="Times New Roman"/>
                <w:b w:val="false"/>
                <w:i w:val="false"/>
                <w:color w:val="000000"/>
                <w:sz w:val="20"/>
              </w:rPr>
              <w:t>
условных и</w:t>
            </w:r>
            <w:r>
              <w:br/>
            </w:r>
            <w:r>
              <w:rPr>
                <w:rFonts w:ascii="Times New Roman"/>
                <w:b w:val="false"/>
                <w:i w:val="false"/>
                <w:color w:val="000000"/>
                <w:sz w:val="20"/>
              </w:rPr>
              <w:t>
возможных</w:t>
            </w:r>
            <w:r>
              <w:br/>
            </w:r>
            <w:r>
              <w:rPr>
                <w:rFonts w:ascii="Times New Roman"/>
                <w:b w:val="false"/>
                <w:i w:val="false"/>
                <w:color w:val="000000"/>
                <w:sz w:val="20"/>
              </w:rPr>
              <w:t>
обязательств,</w:t>
            </w:r>
            <w:r>
              <w:br/>
            </w:r>
            <w:r>
              <w:rPr>
                <w:rFonts w:ascii="Times New Roman"/>
                <w:b w:val="false"/>
                <w:i w:val="false"/>
                <w:color w:val="000000"/>
                <w:sz w:val="20"/>
              </w:rPr>
              <w:t>
взвешенных по</w:t>
            </w:r>
            <w:r>
              <w:br/>
            </w:r>
            <w:r>
              <w:rPr>
                <w:rFonts w:ascii="Times New Roman"/>
                <w:b w:val="false"/>
                <w:i w:val="false"/>
                <w:color w:val="000000"/>
                <w:sz w:val="20"/>
              </w:rPr>
              <w:t>
степени</w:t>
            </w:r>
            <w:r>
              <w:br/>
            </w:r>
            <w:r>
              <w:rPr>
                <w:rFonts w:ascii="Times New Roman"/>
                <w:b w:val="false"/>
                <w:i w:val="false"/>
                <w:color w:val="000000"/>
                <w:sz w:val="20"/>
              </w:rPr>
              <w:t>
кредитного риска</w:t>
            </w:r>
            <w:r>
              <w:br/>
            </w:r>
            <w:r>
              <w:rPr>
                <w:rFonts w:ascii="Times New Roman"/>
                <w:b w:val="false"/>
                <w:i w:val="false"/>
                <w:color w:val="000000"/>
                <w:sz w:val="20"/>
              </w:rPr>
              <w:t>
вложений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группа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группа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группа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группа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xml:space="preserve">
условных и </w:t>
            </w:r>
            <w:r>
              <w:br/>
            </w:r>
            <w:r>
              <w:rPr>
                <w:rFonts w:ascii="Times New Roman"/>
                <w:b w:val="false"/>
                <w:i w:val="false"/>
                <w:color w:val="000000"/>
                <w:sz w:val="20"/>
              </w:rPr>
              <w:t xml:space="preserve">
возможных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взвешенных </w:t>
            </w:r>
            <w:r>
              <w:br/>
            </w:r>
            <w:r>
              <w:rPr>
                <w:rFonts w:ascii="Times New Roman"/>
                <w:b w:val="false"/>
                <w:i w:val="false"/>
                <w:color w:val="000000"/>
                <w:sz w:val="20"/>
              </w:rPr>
              <w:t xml:space="preserve">
по степени </w:t>
            </w:r>
            <w:r>
              <w:br/>
            </w:r>
            <w:r>
              <w:rPr>
                <w:rFonts w:ascii="Times New Roman"/>
                <w:b w:val="false"/>
                <w:i w:val="false"/>
                <w:color w:val="000000"/>
                <w:sz w:val="20"/>
              </w:rPr>
              <w:t xml:space="preserve">
кредитного </w:t>
            </w:r>
            <w:r>
              <w:br/>
            </w:r>
            <w:r>
              <w:rPr>
                <w:rFonts w:ascii="Times New Roman"/>
                <w:b w:val="false"/>
                <w:i w:val="false"/>
                <w:color w:val="000000"/>
                <w:sz w:val="20"/>
              </w:rPr>
              <w:t xml:space="preserve">
риска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сумма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условных и </w:t>
            </w:r>
            <w:r>
              <w:br/>
            </w:r>
            <w:r>
              <w:rPr>
                <w:rFonts w:ascii="Times New Roman"/>
                <w:b w:val="false"/>
                <w:i w:val="false"/>
                <w:color w:val="000000"/>
                <w:sz w:val="20"/>
              </w:rPr>
              <w:t xml:space="preserve">
возможных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взвешиваемых </w:t>
            </w:r>
            <w:r>
              <w:br/>
            </w:r>
            <w:r>
              <w:rPr>
                <w:rFonts w:ascii="Times New Roman"/>
                <w:b w:val="false"/>
                <w:i w:val="false"/>
                <w:color w:val="000000"/>
                <w:sz w:val="20"/>
              </w:rPr>
              <w:t xml:space="preserve">
по степени </w:t>
            </w:r>
            <w:r>
              <w:br/>
            </w:r>
            <w:r>
              <w:rPr>
                <w:rFonts w:ascii="Times New Roman"/>
                <w:b w:val="false"/>
                <w:i w:val="false"/>
                <w:color w:val="000000"/>
                <w:sz w:val="20"/>
              </w:rPr>
              <w:t xml:space="preserve">
кредитного </w:t>
            </w:r>
            <w:r>
              <w:br/>
            </w:r>
            <w:r>
              <w:rPr>
                <w:rFonts w:ascii="Times New Roman"/>
                <w:b w:val="false"/>
                <w:i w:val="false"/>
                <w:color w:val="000000"/>
                <w:sz w:val="20"/>
              </w:rPr>
              <w:t xml:space="preserve">
риска вложений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Примечание:</w:t>
      </w:r>
    </w:p>
    <w:bookmarkEnd w:id="78"/>
    <w:p>
      <w:pPr>
        <w:spacing w:after="0"/>
        <w:ind w:left="0"/>
        <w:jc w:val="both"/>
      </w:pPr>
      <w:r>
        <w:rPr>
          <w:rFonts w:ascii="Times New Roman"/>
          <w:b w:val="false"/>
          <w:i w:val="false"/>
          <w:color w:val="000000"/>
          <w:sz w:val="28"/>
        </w:rPr>
        <w:t>
      Графа "Сумма активов, условных и возможных обязательств по балансу (в тысячах тенге)" подразделяется на подграфы, соответствующие количеству участников банковского конгломерата, в которых указывается их краткое наименование.</w:t>
      </w:r>
    </w:p>
    <w:p>
      <w:pPr>
        <w:spacing w:after="0"/>
        <w:ind w:left="0"/>
        <w:jc w:val="both"/>
      </w:pPr>
      <w:r>
        <w:rPr>
          <w:rFonts w:ascii="Times New Roman"/>
          <w:b w:val="false"/>
          <w:i w:val="false"/>
          <w:color w:val="000000"/>
          <w:sz w:val="28"/>
        </w:rPr>
        <w:t xml:space="preserve">
      Условные и возможные обязательства взвешиваются по степени кредитного риска вложений в соответствии с Инструкцией № 358. </w:t>
      </w:r>
    </w:p>
    <w:bookmarkStart w:name="z85" w:id="79"/>
    <w:p>
      <w:pPr>
        <w:spacing w:after="0"/>
        <w:ind w:left="0"/>
        <w:jc w:val="both"/>
      </w:pPr>
      <w:r>
        <w:rPr>
          <w:rFonts w:ascii="Times New Roman"/>
          <w:b w:val="false"/>
          <w:i w:val="false"/>
          <w:color w:val="000000"/>
          <w:sz w:val="28"/>
        </w:rPr>
        <w:t>
      Таблица 2</w:t>
      </w:r>
    </w:p>
    <w:bookmarkEnd w:id="79"/>
    <w:p>
      <w:pPr>
        <w:spacing w:after="0"/>
        <w:ind w:left="0"/>
        <w:jc w:val="left"/>
      </w:pPr>
      <w:r>
        <w:rPr>
          <w:rFonts w:ascii="Times New Roman"/>
          <w:b/>
          <w:i w:val="false"/>
          <w:color w:val="000000"/>
        </w:rPr>
        <w:t xml:space="preserve"> Таблица активов, условных и возможных требований и</w:t>
      </w:r>
      <w:r>
        <w:br/>
      </w:r>
      <w:r>
        <w:rPr>
          <w:rFonts w:ascii="Times New Roman"/>
          <w:b/>
          <w:i w:val="false"/>
          <w:color w:val="000000"/>
        </w:rPr>
        <w:t>обязательств, взвешенных с учетом рыночного риска и</w:t>
      </w:r>
      <w:r>
        <w:br/>
      </w:r>
      <w:r>
        <w:rPr>
          <w:rFonts w:ascii="Times New Roman"/>
          <w:b/>
          <w:i w:val="false"/>
          <w:color w:val="000000"/>
        </w:rPr>
        <w:t>операционный риск</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банковского конгломерата)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566"/>
        <w:gridCol w:w="7168"/>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риска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участников </w:t>
            </w:r>
            <w:r>
              <w:br/>
            </w:r>
            <w:r>
              <w:rPr>
                <w:rFonts w:ascii="Times New Roman"/>
                <w:b w:val="false"/>
                <w:i w:val="false"/>
                <w:color w:val="000000"/>
                <w:sz w:val="20"/>
              </w:rPr>
              <w:t>
банковского конгломерата</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Рыночный риск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Операционный риск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Исполнитель (подпись, номер телефона) Фамилия, имя, отчество (при наличии)</w:t>
      </w:r>
    </w:p>
    <w:bookmarkStart w:name="z86" w:id="80"/>
    <w:p>
      <w:pPr>
        <w:spacing w:after="0"/>
        <w:ind w:left="0"/>
        <w:jc w:val="both"/>
      </w:pPr>
      <w:r>
        <w:rPr>
          <w:rFonts w:ascii="Times New Roman"/>
          <w:b w:val="false"/>
          <w:i w:val="false"/>
          <w:color w:val="000000"/>
          <w:sz w:val="28"/>
        </w:rPr>
        <w:t>
      Примечание:</w:t>
      </w:r>
    </w:p>
    <w:bookmarkEnd w:id="80"/>
    <w:p>
      <w:pPr>
        <w:spacing w:after="0"/>
        <w:ind w:left="0"/>
        <w:jc w:val="both"/>
      </w:pPr>
      <w:r>
        <w:rPr>
          <w:rFonts w:ascii="Times New Roman"/>
          <w:b w:val="false"/>
          <w:i w:val="false"/>
          <w:color w:val="000000"/>
          <w:sz w:val="28"/>
        </w:rPr>
        <w:t>
      Графа "Наименование участников банковского конгломерата" подразделяется на подграфы, соответствующие количеству участников банковского конгломерата, которые рассчитывают рыночные и операционные риски, а также их краткие наименования.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лимитов для банковского</w:t>
            </w:r>
            <w:r>
              <w:br/>
            </w:r>
            <w:r>
              <w:rPr>
                <w:rFonts w:ascii="Times New Roman"/>
                <w:b w:val="false"/>
                <w:i w:val="false"/>
                <w:color w:val="000000"/>
                <w:sz w:val="20"/>
              </w:rPr>
              <w:t>конгломерата, а также формам и срокам</w:t>
            </w:r>
            <w:r>
              <w:br/>
            </w:r>
            <w:r>
              <w:rPr>
                <w:rFonts w:ascii="Times New Roman"/>
                <w:b w:val="false"/>
                <w:i w:val="false"/>
                <w:color w:val="000000"/>
                <w:sz w:val="20"/>
              </w:rPr>
              <w:t>представления отчетности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Инвестиции участников банковского конгломерата в капитал других</w:t>
      </w:r>
      <w:r>
        <w:br/>
      </w:r>
      <w:r>
        <w:rPr>
          <w:rFonts w:ascii="Times New Roman"/>
          <w:b/>
          <w:i w:val="false"/>
          <w:color w:val="000000"/>
        </w:rPr>
        <w:t>юридических лиц, осуществленные в течение отчетного периода,</w:t>
      </w:r>
      <w:r>
        <w:br/>
      </w:r>
      <w:r>
        <w:rPr>
          <w:rFonts w:ascii="Times New Roman"/>
          <w:b/>
          <w:i w:val="false"/>
          <w:color w:val="000000"/>
        </w:rPr>
        <w:t>а также действующие по состоянию на "__" ______ 20__ года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банковского конгломерата)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952"/>
        <w:gridCol w:w="1385"/>
        <w:gridCol w:w="520"/>
        <w:gridCol w:w="953"/>
        <w:gridCol w:w="953"/>
        <w:gridCol w:w="953"/>
        <w:gridCol w:w="1172"/>
        <w:gridCol w:w="953"/>
        <w:gridCol w:w="953"/>
        <w:gridCol w:w="954"/>
      </w:tblGrid>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нование</w:t>
            </w:r>
            <w:r>
              <w:br/>
            </w:r>
            <w:r>
              <w:rPr>
                <w:rFonts w:ascii="Times New Roman"/>
                <w:b w:val="false"/>
                <w:i w:val="false"/>
                <w:color w:val="000000"/>
                <w:sz w:val="20"/>
              </w:rPr>
              <w:t>
юриди-</w:t>
            </w:r>
            <w:r>
              <w:br/>
            </w:r>
            <w:r>
              <w:rPr>
                <w:rFonts w:ascii="Times New Roman"/>
                <w:b w:val="false"/>
                <w:i w:val="false"/>
                <w:color w:val="000000"/>
                <w:sz w:val="20"/>
              </w:rPr>
              <w:t>
ческого</w:t>
            </w:r>
            <w:r>
              <w:br/>
            </w:r>
            <w:r>
              <w:rPr>
                <w:rFonts w:ascii="Times New Roman"/>
                <w:b w:val="false"/>
                <w:i w:val="false"/>
                <w:color w:val="000000"/>
                <w:sz w:val="20"/>
              </w:rPr>
              <w:t>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w:t>
            </w:r>
            <w:r>
              <w:br/>
            </w:r>
            <w:r>
              <w:rPr>
                <w:rFonts w:ascii="Times New Roman"/>
                <w:b w:val="false"/>
                <w:i w:val="false"/>
                <w:color w:val="000000"/>
                <w:sz w:val="20"/>
              </w:rPr>
              <w:t>
(стоимость)</w:t>
            </w:r>
            <w:r>
              <w:br/>
            </w:r>
            <w:r>
              <w:rPr>
                <w:rFonts w:ascii="Times New Roman"/>
                <w:b w:val="false"/>
                <w:i w:val="false"/>
                <w:color w:val="000000"/>
                <w:sz w:val="20"/>
              </w:rPr>
              <w:t xml:space="preserve">
приобретенных </w:t>
            </w:r>
            <w:r>
              <w:br/>
            </w:r>
            <w:r>
              <w:rPr>
                <w:rFonts w:ascii="Times New Roman"/>
                <w:b w:val="false"/>
                <w:i w:val="false"/>
                <w:color w:val="000000"/>
                <w:sz w:val="20"/>
              </w:rPr>
              <w:t>
акций (в тысячах</w:t>
            </w:r>
            <w:r>
              <w:br/>
            </w:r>
            <w:r>
              <w:rPr>
                <w:rFonts w:ascii="Times New Roman"/>
                <w:b w:val="false"/>
                <w:i w:val="false"/>
                <w:color w:val="000000"/>
                <w:sz w:val="20"/>
              </w:rPr>
              <w:t>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акций (штук)</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w:t>
            </w:r>
            <w:r>
              <w:br/>
            </w:r>
            <w:r>
              <w:rPr>
                <w:rFonts w:ascii="Times New Roman"/>
                <w:b w:val="false"/>
                <w:i w:val="false"/>
                <w:color w:val="000000"/>
                <w:sz w:val="20"/>
              </w:rPr>
              <w:t>
шение</w:t>
            </w:r>
            <w:r>
              <w:br/>
            </w:r>
            <w:r>
              <w:rPr>
                <w:rFonts w:ascii="Times New Roman"/>
                <w:b w:val="false"/>
                <w:i w:val="false"/>
                <w:color w:val="000000"/>
                <w:sz w:val="20"/>
              </w:rPr>
              <w:t>
количес-</w:t>
            </w:r>
            <w:r>
              <w:br/>
            </w:r>
            <w:r>
              <w:rPr>
                <w:rFonts w:ascii="Times New Roman"/>
                <w:b w:val="false"/>
                <w:i w:val="false"/>
                <w:color w:val="000000"/>
                <w:sz w:val="20"/>
              </w:rPr>
              <w:t>
тва</w:t>
            </w:r>
            <w:r>
              <w:br/>
            </w:r>
            <w:r>
              <w:rPr>
                <w:rFonts w:ascii="Times New Roman"/>
                <w:b w:val="false"/>
                <w:i w:val="false"/>
                <w:color w:val="000000"/>
                <w:sz w:val="20"/>
              </w:rPr>
              <w:t>
акций,</w:t>
            </w:r>
            <w:r>
              <w:br/>
            </w:r>
            <w:r>
              <w:rPr>
                <w:rFonts w:ascii="Times New Roman"/>
                <w:b w:val="false"/>
                <w:i w:val="false"/>
                <w:color w:val="000000"/>
                <w:sz w:val="20"/>
              </w:rPr>
              <w:t>
принад-</w:t>
            </w:r>
            <w:r>
              <w:br/>
            </w:r>
            <w:r>
              <w:rPr>
                <w:rFonts w:ascii="Times New Roman"/>
                <w:b w:val="false"/>
                <w:i w:val="false"/>
                <w:color w:val="000000"/>
                <w:sz w:val="20"/>
              </w:rPr>
              <w:t>
лежащих</w:t>
            </w:r>
            <w:r>
              <w:br/>
            </w:r>
            <w:r>
              <w:rPr>
                <w:rFonts w:ascii="Times New Roman"/>
                <w:b w:val="false"/>
                <w:i w:val="false"/>
                <w:color w:val="000000"/>
                <w:sz w:val="20"/>
              </w:rPr>
              <w:t>
участнику</w:t>
            </w:r>
            <w:r>
              <w:br/>
            </w:r>
            <w:r>
              <w:rPr>
                <w:rFonts w:ascii="Times New Roman"/>
                <w:b w:val="false"/>
                <w:i w:val="false"/>
                <w:color w:val="000000"/>
                <w:sz w:val="20"/>
              </w:rPr>
              <w:t>
банков-</w:t>
            </w:r>
            <w:r>
              <w:br/>
            </w:r>
            <w:r>
              <w:rPr>
                <w:rFonts w:ascii="Times New Roman"/>
                <w:b w:val="false"/>
                <w:i w:val="false"/>
                <w:color w:val="000000"/>
                <w:sz w:val="20"/>
              </w:rPr>
              <w:t>
ского</w:t>
            </w:r>
            <w:r>
              <w:br/>
            </w:r>
            <w:r>
              <w:rPr>
                <w:rFonts w:ascii="Times New Roman"/>
                <w:b w:val="false"/>
                <w:i w:val="false"/>
                <w:color w:val="000000"/>
                <w:sz w:val="20"/>
              </w:rPr>
              <w:t>
конгло-</w:t>
            </w:r>
            <w:r>
              <w:br/>
            </w:r>
            <w:r>
              <w:rPr>
                <w:rFonts w:ascii="Times New Roman"/>
                <w:b w:val="false"/>
                <w:i w:val="false"/>
                <w:color w:val="000000"/>
                <w:sz w:val="20"/>
              </w:rPr>
              <w:t>
мерата, к</w:t>
            </w:r>
            <w:r>
              <w:br/>
            </w:r>
            <w:r>
              <w:rPr>
                <w:rFonts w:ascii="Times New Roman"/>
                <w:b w:val="false"/>
                <w:i w:val="false"/>
                <w:color w:val="000000"/>
                <w:sz w:val="20"/>
              </w:rPr>
              <w:t>
общему</w:t>
            </w:r>
            <w:r>
              <w:br/>
            </w:r>
            <w:r>
              <w:rPr>
                <w:rFonts w:ascii="Times New Roman"/>
                <w:b w:val="false"/>
                <w:i w:val="false"/>
                <w:color w:val="000000"/>
                <w:sz w:val="20"/>
              </w:rPr>
              <w:t>
коли-</w:t>
            </w:r>
            <w:r>
              <w:br/>
            </w:r>
            <w:r>
              <w:rPr>
                <w:rFonts w:ascii="Times New Roman"/>
                <w:b w:val="false"/>
                <w:i w:val="false"/>
                <w:color w:val="000000"/>
                <w:sz w:val="20"/>
              </w:rPr>
              <w:t>
честву</w:t>
            </w:r>
            <w:r>
              <w:br/>
            </w:r>
            <w:r>
              <w:rPr>
                <w:rFonts w:ascii="Times New Roman"/>
                <w:b w:val="false"/>
                <w:i w:val="false"/>
                <w:color w:val="000000"/>
                <w:sz w:val="20"/>
              </w:rPr>
              <w:t>
разме-</w:t>
            </w:r>
            <w:r>
              <w:br/>
            </w:r>
            <w:r>
              <w:rPr>
                <w:rFonts w:ascii="Times New Roman"/>
                <w:b w:val="false"/>
                <w:i w:val="false"/>
                <w:color w:val="000000"/>
                <w:sz w:val="20"/>
              </w:rPr>
              <w:t>
щенных</w:t>
            </w:r>
            <w:r>
              <w:br/>
            </w:r>
            <w:r>
              <w:rPr>
                <w:rFonts w:ascii="Times New Roman"/>
                <w:b w:val="false"/>
                <w:i w:val="false"/>
                <w:color w:val="000000"/>
                <w:sz w:val="20"/>
              </w:rPr>
              <w:t>
акций</w:t>
            </w:r>
            <w:r>
              <w:br/>
            </w:r>
            <w:r>
              <w:rPr>
                <w:rFonts w:ascii="Times New Roman"/>
                <w:b w:val="false"/>
                <w:i w:val="false"/>
                <w:color w:val="000000"/>
                <w:sz w:val="20"/>
              </w:rPr>
              <w:t>
эмитента</w:t>
            </w:r>
            <w:r>
              <w:br/>
            </w:r>
            <w:r>
              <w:rPr>
                <w:rFonts w:ascii="Times New Roman"/>
                <w:b w:val="false"/>
                <w:i w:val="false"/>
                <w:color w:val="000000"/>
                <w:sz w:val="20"/>
              </w:rPr>
              <w:t>
или доля</w:t>
            </w:r>
            <w:r>
              <w:br/>
            </w:r>
            <w:r>
              <w:rPr>
                <w:rFonts w:ascii="Times New Roman"/>
                <w:b w:val="false"/>
                <w:i w:val="false"/>
                <w:color w:val="000000"/>
                <w:sz w:val="20"/>
              </w:rPr>
              <w:t>
участия в</w:t>
            </w:r>
            <w:r>
              <w:br/>
            </w:r>
            <w:r>
              <w:rPr>
                <w:rFonts w:ascii="Times New Roman"/>
                <w:b w:val="false"/>
                <w:i w:val="false"/>
                <w:color w:val="000000"/>
                <w:sz w:val="20"/>
              </w:rPr>
              <w:t>
уставном</w:t>
            </w:r>
            <w:r>
              <w:br/>
            </w:r>
            <w:r>
              <w:rPr>
                <w:rFonts w:ascii="Times New Roman"/>
                <w:b w:val="false"/>
                <w:i w:val="false"/>
                <w:color w:val="000000"/>
                <w:sz w:val="20"/>
              </w:rPr>
              <w:t>
капитале</w:t>
            </w:r>
            <w:r>
              <w:br/>
            </w:r>
            <w:r>
              <w:rPr>
                <w:rFonts w:ascii="Times New Roman"/>
                <w:b w:val="false"/>
                <w:i w:val="false"/>
                <w:color w:val="000000"/>
                <w:sz w:val="20"/>
              </w:rPr>
              <w:t>
юридичес-</w:t>
            </w:r>
            <w:r>
              <w:br/>
            </w:r>
            <w:r>
              <w:rPr>
                <w:rFonts w:ascii="Times New Roman"/>
                <w:b w:val="false"/>
                <w:i w:val="false"/>
                <w:color w:val="000000"/>
                <w:sz w:val="20"/>
              </w:rPr>
              <w:t>
кого лица</w:t>
            </w:r>
            <w:r>
              <w:br/>
            </w:r>
            <w:r>
              <w:rPr>
                <w:rFonts w:ascii="Times New Roman"/>
                <w:b w:val="false"/>
                <w:i w:val="false"/>
                <w:color w:val="000000"/>
                <w:sz w:val="20"/>
              </w:rPr>
              <w:t>
(в</w:t>
            </w:r>
            <w:r>
              <w:br/>
            </w:r>
            <w:r>
              <w:rPr>
                <w:rFonts w:ascii="Times New Roman"/>
                <w:b w:val="false"/>
                <w:i w:val="false"/>
                <w:color w:val="000000"/>
                <w:sz w:val="20"/>
              </w:rPr>
              <w:t>
процен-</w:t>
            </w:r>
            <w:r>
              <w:br/>
            </w:r>
            <w:r>
              <w:rPr>
                <w:rFonts w:ascii="Times New Roman"/>
                <w:b w:val="false"/>
                <w:i w:val="false"/>
                <w:color w:val="000000"/>
                <w:sz w:val="20"/>
              </w:rPr>
              <w:t>
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r>
              <w:br/>
            </w:r>
            <w:r>
              <w:rPr>
                <w:rFonts w:ascii="Times New Roman"/>
                <w:b w:val="false"/>
                <w:i w:val="false"/>
                <w:color w:val="000000"/>
                <w:sz w:val="20"/>
              </w:rPr>
              <w:t>
участника</w:t>
            </w:r>
            <w:r>
              <w:br/>
            </w:r>
            <w:r>
              <w:rPr>
                <w:rFonts w:ascii="Times New Roman"/>
                <w:b w:val="false"/>
                <w:i w:val="false"/>
                <w:color w:val="000000"/>
                <w:sz w:val="20"/>
              </w:rPr>
              <w:t>
банков-</w:t>
            </w:r>
            <w:r>
              <w:br/>
            </w:r>
            <w:r>
              <w:rPr>
                <w:rFonts w:ascii="Times New Roman"/>
                <w:b w:val="false"/>
                <w:i w:val="false"/>
                <w:color w:val="000000"/>
                <w:sz w:val="20"/>
              </w:rPr>
              <w:t>
ского</w:t>
            </w:r>
            <w:r>
              <w:br/>
            </w:r>
            <w:r>
              <w:rPr>
                <w:rFonts w:ascii="Times New Roman"/>
                <w:b w:val="false"/>
                <w:i w:val="false"/>
                <w:color w:val="000000"/>
                <w:sz w:val="20"/>
              </w:rPr>
              <w:t>
конгло-</w:t>
            </w:r>
            <w:r>
              <w:br/>
            </w:r>
            <w:r>
              <w:rPr>
                <w:rFonts w:ascii="Times New Roman"/>
                <w:b w:val="false"/>
                <w:i w:val="false"/>
                <w:color w:val="000000"/>
                <w:sz w:val="20"/>
              </w:rPr>
              <w:t>
мерата</w:t>
            </w:r>
            <w:r>
              <w:br/>
            </w:r>
            <w:r>
              <w:rPr>
                <w:rFonts w:ascii="Times New Roman"/>
                <w:b w:val="false"/>
                <w:i w:val="false"/>
                <w:color w:val="000000"/>
                <w:sz w:val="20"/>
              </w:rPr>
              <w:t>
на</w:t>
            </w:r>
            <w:r>
              <w:br/>
            </w:r>
            <w:r>
              <w:rPr>
                <w:rFonts w:ascii="Times New Roman"/>
                <w:b w:val="false"/>
                <w:i w:val="false"/>
                <w:color w:val="000000"/>
                <w:sz w:val="20"/>
              </w:rPr>
              <w:t>
отчетную</w:t>
            </w:r>
            <w:r>
              <w:br/>
            </w:r>
            <w:r>
              <w:rPr>
                <w:rFonts w:ascii="Times New Roman"/>
                <w:b w:val="false"/>
                <w:i w:val="false"/>
                <w:color w:val="000000"/>
                <w:sz w:val="20"/>
              </w:rPr>
              <w:t>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w:t>
            </w:r>
            <w:r>
              <w:br/>
            </w:r>
            <w:r>
              <w:rPr>
                <w:rFonts w:ascii="Times New Roman"/>
                <w:b w:val="false"/>
                <w:i w:val="false"/>
                <w:color w:val="000000"/>
                <w:sz w:val="20"/>
              </w:rPr>
              <w:t>
нальная</w:t>
            </w:r>
            <w:r>
              <w:br/>
            </w:r>
            <w:r>
              <w:rPr>
                <w:rFonts w:ascii="Times New Roman"/>
                <w:b w:val="false"/>
                <w:i w:val="false"/>
                <w:color w:val="000000"/>
                <w:sz w:val="20"/>
              </w:rPr>
              <w:t>
(Покуп-</w:t>
            </w:r>
            <w:r>
              <w:br/>
            </w:r>
            <w:r>
              <w:rPr>
                <w:rFonts w:ascii="Times New Roman"/>
                <w:b w:val="false"/>
                <w:i w:val="false"/>
                <w:color w:val="000000"/>
                <w:sz w:val="20"/>
              </w:rPr>
              <w:t>
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w:t>
            </w:r>
            <w:r>
              <w:br/>
            </w:r>
            <w:r>
              <w:rPr>
                <w:rFonts w:ascii="Times New Roman"/>
                <w:b w:val="false"/>
                <w:i w:val="false"/>
                <w:color w:val="000000"/>
                <w:sz w:val="20"/>
              </w:rPr>
              <w:t>
(нетто)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w:t>
            </w:r>
            <w:r>
              <w:br/>
            </w:r>
            <w:r>
              <w:rPr>
                <w:rFonts w:ascii="Times New Roman"/>
                <w:b w:val="false"/>
                <w:i w:val="false"/>
                <w:color w:val="000000"/>
                <w:sz w:val="20"/>
              </w:rPr>
              <w:t>
тые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виле-</w:t>
            </w:r>
            <w:r>
              <w:br/>
            </w:r>
            <w:r>
              <w:rPr>
                <w:rFonts w:ascii="Times New Roman"/>
                <w:b w:val="false"/>
                <w:i w:val="false"/>
                <w:color w:val="000000"/>
                <w:sz w:val="20"/>
              </w:rPr>
              <w:t>
гиро-</w:t>
            </w:r>
            <w:r>
              <w:br/>
            </w:r>
            <w:r>
              <w:rPr>
                <w:rFonts w:ascii="Times New Roman"/>
                <w:b w:val="false"/>
                <w:i w:val="false"/>
                <w:color w:val="000000"/>
                <w:sz w:val="20"/>
              </w:rPr>
              <w:t>
ван-</w:t>
            </w:r>
            <w:r>
              <w:br/>
            </w:r>
            <w:r>
              <w:rPr>
                <w:rFonts w:ascii="Times New Roman"/>
                <w:b w:val="false"/>
                <w:i w:val="false"/>
                <w:color w:val="000000"/>
                <w:sz w:val="20"/>
              </w:rPr>
              <w:t>
ные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w:t>
            </w:r>
            <w:r>
              <w:br/>
            </w:r>
            <w:r>
              <w:rPr>
                <w:rFonts w:ascii="Times New Roman"/>
                <w:b w:val="false"/>
                <w:i w:val="false"/>
                <w:color w:val="000000"/>
                <w:sz w:val="20"/>
              </w:rPr>
              <w:t>
рете-</w:t>
            </w:r>
            <w:r>
              <w:br/>
            </w:r>
            <w:r>
              <w:rPr>
                <w:rFonts w:ascii="Times New Roman"/>
                <w:b w:val="false"/>
                <w:i w:val="false"/>
                <w:color w:val="000000"/>
                <w:sz w:val="20"/>
              </w:rPr>
              <w:t>
ния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w:t>
            </w:r>
            <w:r>
              <w:br/>
            </w:r>
            <w:r>
              <w:rPr>
                <w:rFonts w:ascii="Times New Roman"/>
                <w:b w:val="false"/>
                <w:i w:val="false"/>
                <w:color w:val="000000"/>
                <w:sz w:val="20"/>
              </w:rPr>
              <w:t>
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прови-</w:t>
            </w:r>
            <w:r>
              <w:br/>
            </w:r>
            <w:r>
              <w:rPr>
                <w:rFonts w:ascii="Times New Roman"/>
                <w:b w:val="false"/>
                <w:i w:val="false"/>
                <w:color w:val="000000"/>
                <w:sz w:val="20"/>
              </w:rPr>
              <w:t>
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Исполнитель (подпись, номер телефона)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лимитов для банковского</w:t>
            </w:r>
            <w:r>
              <w:br/>
            </w:r>
            <w:r>
              <w:rPr>
                <w:rFonts w:ascii="Times New Roman"/>
                <w:b w:val="false"/>
                <w:i w:val="false"/>
                <w:color w:val="000000"/>
                <w:sz w:val="20"/>
              </w:rPr>
              <w:t>конгломерата, а также формам и срокам</w:t>
            </w:r>
            <w:r>
              <w:br/>
            </w:r>
            <w:r>
              <w:rPr>
                <w:rFonts w:ascii="Times New Roman"/>
                <w:b w:val="false"/>
                <w:i w:val="false"/>
                <w:color w:val="000000"/>
                <w:sz w:val="20"/>
              </w:rPr>
              <w:t>представления отчетности</w:t>
            </w:r>
          </w:p>
        </w:tc>
      </w:tr>
    </w:tbl>
    <w:bookmarkStart w:name="z89" w:id="81"/>
    <w:p>
      <w:pPr>
        <w:spacing w:after="0"/>
        <w:ind w:left="0"/>
        <w:jc w:val="both"/>
      </w:pPr>
      <w:r>
        <w:rPr>
          <w:rFonts w:ascii="Times New Roman"/>
          <w:b w:val="false"/>
          <w:i w:val="false"/>
          <w:color w:val="000000"/>
          <w:sz w:val="28"/>
        </w:rPr>
        <w:t>
      Форма</w:t>
      </w:r>
    </w:p>
    <w:bookmarkEnd w:id="81"/>
    <w:bookmarkStart w:name="z90" w:id="82"/>
    <w:p>
      <w:pPr>
        <w:spacing w:after="0"/>
        <w:ind w:left="0"/>
        <w:jc w:val="left"/>
      </w:pPr>
      <w:r>
        <w:rPr>
          <w:rFonts w:ascii="Times New Roman"/>
          <w:b/>
          <w:i w:val="false"/>
          <w:color w:val="000000"/>
        </w:rPr>
        <w:t xml:space="preserve"> Структура портфеля ценных бумаг участников банковского</w:t>
      </w:r>
      <w:r>
        <w:br/>
      </w:r>
      <w:r>
        <w:rPr>
          <w:rFonts w:ascii="Times New Roman"/>
          <w:b/>
          <w:i w:val="false"/>
          <w:color w:val="000000"/>
        </w:rPr>
        <w:t>конгломерата, по состоянию на "__" ______ 20__ года</w:t>
      </w:r>
    </w:p>
    <w:bookmarkEnd w:id="8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банковского конгломерата)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511"/>
        <w:gridCol w:w="511"/>
        <w:gridCol w:w="937"/>
        <w:gridCol w:w="938"/>
        <w:gridCol w:w="938"/>
        <w:gridCol w:w="1363"/>
        <w:gridCol w:w="512"/>
        <w:gridCol w:w="938"/>
        <w:gridCol w:w="938"/>
        <w:gridCol w:w="1364"/>
        <w:gridCol w:w="938"/>
        <w:gridCol w:w="939"/>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участника</w:t>
            </w:r>
            <w:r>
              <w:br/>
            </w:r>
            <w:r>
              <w:rPr>
                <w:rFonts w:ascii="Times New Roman"/>
                <w:b w:val="false"/>
                <w:i w:val="false"/>
                <w:color w:val="000000"/>
                <w:sz w:val="20"/>
              </w:rPr>
              <w:t>
банковского</w:t>
            </w:r>
            <w:r>
              <w:br/>
            </w:r>
            <w:r>
              <w:rPr>
                <w:rFonts w:ascii="Times New Roman"/>
                <w:b w:val="false"/>
                <w:i w:val="false"/>
                <w:color w:val="000000"/>
                <w:sz w:val="20"/>
              </w:rPr>
              <w:t>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w:t>
            </w:r>
            <w:r>
              <w:br/>
            </w:r>
            <w:r>
              <w:rPr>
                <w:rFonts w:ascii="Times New Roman"/>
                <w:b w:val="false"/>
                <w:i w:val="false"/>
                <w:color w:val="000000"/>
                <w:sz w:val="20"/>
              </w:rPr>
              <w:t>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ценных</w:t>
            </w:r>
            <w:r>
              <w:br/>
            </w:r>
            <w:r>
              <w:rPr>
                <w:rFonts w:ascii="Times New Roman"/>
                <w:b w:val="false"/>
                <w:i w:val="false"/>
                <w:color w:val="000000"/>
                <w:sz w:val="20"/>
              </w:rPr>
              <w:t>
бумаг</w:t>
            </w:r>
            <w:r>
              <w:br/>
            </w: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w:t>
            </w:r>
            <w:r>
              <w:br/>
            </w:r>
            <w:r>
              <w:rPr>
                <w:rFonts w:ascii="Times New Roman"/>
                <w:b w:val="false"/>
                <w:i w:val="false"/>
                <w:color w:val="000000"/>
                <w:sz w:val="20"/>
              </w:rPr>
              <w:t>
стоимость</w:t>
            </w:r>
            <w:r>
              <w:br/>
            </w:r>
            <w:r>
              <w:rPr>
                <w:rFonts w:ascii="Times New Roman"/>
                <w:b w:val="false"/>
                <w:i w:val="false"/>
                <w:color w:val="000000"/>
                <w:sz w:val="20"/>
              </w:rPr>
              <w:t>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r>
              <w:br/>
            </w:r>
            <w:r>
              <w:rPr>
                <w:rFonts w:ascii="Times New Roman"/>
                <w:b w:val="false"/>
                <w:i w:val="false"/>
                <w:color w:val="000000"/>
                <w:sz w:val="20"/>
              </w:rPr>
              <w:t>
на</w:t>
            </w:r>
            <w:r>
              <w:br/>
            </w:r>
            <w:r>
              <w:rPr>
                <w:rFonts w:ascii="Times New Roman"/>
                <w:b w:val="false"/>
                <w:i w:val="false"/>
                <w:color w:val="000000"/>
                <w:sz w:val="20"/>
              </w:rPr>
              <w:t>
отчетную</w:t>
            </w:r>
            <w:r>
              <w:br/>
            </w:r>
            <w:r>
              <w:rPr>
                <w:rFonts w:ascii="Times New Roman"/>
                <w:b w:val="false"/>
                <w:i w:val="false"/>
                <w:color w:val="000000"/>
                <w:sz w:val="20"/>
              </w:rPr>
              <w:t>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w:t>
            </w:r>
            <w:r>
              <w:br/>
            </w:r>
            <w:r>
              <w:rPr>
                <w:rFonts w:ascii="Times New Roman"/>
                <w:b w:val="false"/>
                <w:i w:val="false"/>
                <w:color w:val="000000"/>
                <w:sz w:val="20"/>
              </w:rPr>
              <w:t>
наль-</w:t>
            </w:r>
            <w:r>
              <w:br/>
            </w:r>
            <w:r>
              <w:rPr>
                <w:rFonts w:ascii="Times New Roman"/>
                <w:b w:val="false"/>
                <w:i w:val="false"/>
                <w:color w:val="000000"/>
                <w:sz w:val="20"/>
              </w:rPr>
              <w:t>
ный</w:t>
            </w:r>
            <w:r>
              <w:br/>
            </w:r>
            <w:r>
              <w:rPr>
                <w:rFonts w:ascii="Times New Roman"/>
                <w:b w:val="false"/>
                <w:i w:val="false"/>
                <w:color w:val="000000"/>
                <w:sz w:val="20"/>
              </w:rPr>
              <w:t>
иден-</w:t>
            </w:r>
            <w:r>
              <w:br/>
            </w:r>
            <w:r>
              <w:rPr>
                <w:rFonts w:ascii="Times New Roman"/>
                <w:b w:val="false"/>
                <w:i w:val="false"/>
                <w:color w:val="000000"/>
                <w:sz w:val="20"/>
              </w:rPr>
              <w:t>
тифи-</w:t>
            </w:r>
            <w:r>
              <w:br/>
            </w:r>
            <w:r>
              <w:rPr>
                <w:rFonts w:ascii="Times New Roman"/>
                <w:b w:val="false"/>
                <w:i w:val="false"/>
                <w:color w:val="000000"/>
                <w:sz w:val="20"/>
              </w:rPr>
              <w:t>
каци-</w:t>
            </w:r>
            <w:r>
              <w:br/>
            </w:r>
            <w:r>
              <w:rPr>
                <w:rFonts w:ascii="Times New Roman"/>
                <w:b w:val="false"/>
                <w:i w:val="false"/>
                <w:color w:val="000000"/>
                <w:sz w:val="20"/>
              </w:rPr>
              <w:t>
онный</w:t>
            </w:r>
            <w:r>
              <w:br/>
            </w:r>
            <w:r>
              <w:rPr>
                <w:rFonts w:ascii="Times New Roman"/>
                <w:b w:val="false"/>
                <w:i w:val="false"/>
                <w:color w:val="000000"/>
                <w:sz w:val="20"/>
              </w:rPr>
              <w:t>
номер</w:t>
            </w:r>
            <w:r>
              <w:br/>
            </w:r>
            <w:r>
              <w:rPr>
                <w:rFonts w:ascii="Times New Roman"/>
                <w:b w:val="false"/>
                <w:i w:val="false"/>
                <w:color w:val="000000"/>
                <w:sz w:val="20"/>
              </w:rPr>
              <w:t>
или</w:t>
            </w:r>
            <w:r>
              <w:br/>
            </w:r>
            <w:r>
              <w:rPr>
                <w:rFonts w:ascii="Times New Roman"/>
                <w:b w:val="false"/>
                <w:i w:val="false"/>
                <w:color w:val="000000"/>
                <w:sz w:val="20"/>
              </w:rPr>
              <w:t>
между-</w:t>
            </w:r>
            <w:r>
              <w:br/>
            </w:r>
            <w:r>
              <w:rPr>
                <w:rFonts w:ascii="Times New Roman"/>
                <w:b w:val="false"/>
                <w:i w:val="false"/>
                <w:color w:val="000000"/>
                <w:sz w:val="20"/>
              </w:rPr>
              <w:t>
народ-</w:t>
            </w:r>
            <w:r>
              <w:br/>
            </w:r>
            <w:r>
              <w:rPr>
                <w:rFonts w:ascii="Times New Roman"/>
                <w:b w:val="false"/>
                <w:i w:val="false"/>
                <w:color w:val="000000"/>
                <w:sz w:val="20"/>
              </w:rPr>
              <w:t>
ный</w:t>
            </w:r>
            <w:r>
              <w:br/>
            </w:r>
            <w:r>
              <w:rPr>
                <w:rFonts w:ascii="Times New Roman"/>
                <w:b w:val="false"/>
                <w:i w:val="false"/>
                <w:color w:val="000000"/>
                <w:sz w:val="20"/>
              </w:rPr>
              <w:t>
иден-</w:t>
            </w:r>
            <w:r>
              <w:br/>
            </w:r>
            <w:r>
              <w:rPr>
                <w:rFonts w:ascii="Times New Roman"/>
                <w:b w:val="false"/>
                <w:i w:val="false"/>
                <w:color w:val="000000"/>
                <w:sz w:val="20"/>
              </w:rPr>
              <w:t>
тифи-</w:t>
            </w:r>
            <w:r>
              <w:br/>
            </w:r>
            <w:r>
              <w:rPr>
                <w:rFonts w:ascii="Times New Roman"/>
                <w:b w:val="false"/>
                <w:i w:val="false"/>
                <w:color w:val="000000"/>
                <w:sz w:val="20"/>
              </w:rPr>
              <w:t>
каци-</w:t>
            </w:r>
            <w:r>
              <w:br/>
            </w:r>
            <w:r>
              <w:rPr>
                <w:rFonts w:ascii="Times New Roman"/>
                <w:b w:val="false"/>
                <w:i w:val="false"/>
                <w:color w:val="000000"/>
                <w:sz w:val="20"/>
              </w:rPr>
              <w:t>
онный</w:t>
            </w:r>
            <w:r>
              <w:br/>
            </w:r>
            <w:r>
              <w:rPr>
                <w:rFonts w:ascii="Times New Roman"/>
                <w:b w:val="false"/>
                <w:i w:val="false"/>
                <w:color w:val="000000"/>
                <w:sz w:val="20"/>
              </w:rPr>
              <w:t>
номер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мено-</w:t>
            </w:r>
            <w:r>
              <w:br/>
            </w:r>
            <w:r>
              <w:rPr>
                <w:rFonts w:ascii="Times New Roman"/>
                <w:b w:val="false"/>
                <w:i w:val="false"/>
                <w:color w:val="000000"/>
                <w:sz w:val="20"/>
              </w:rPr>
              <w:t>
вание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r>
              <w:br/>
            </w:r>
            <w:r>
              <w:rPr>
                <w:rFonts w:ascii="Times New Roman"/>
                <w:b w:val="false"/>
                <w:i w:val="false"/>
                <w:color w:val="000000"/>
                <w:sz w:val="20"/>
              </w:rPr>
              <w:t>
рана</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прови-</w:t>
            </w:r>
            <w:r>
              <w:br/>
            </w:r>
            <w:r>
              <w:rPr>
                <w:rFonts w:ascii="Times New Roman"/>
                <w:b w:val="false"/>
                <w:i w:val="false"/>
                <w:color w:val="000000"/>
                <w:sz w:val="20"/>
              </w:rPr>
              <w:t>
зии</w:t>
            </w:r>
            <w:r>
              <w:br/>
            </w:r>
            <w:r>
              <w:rPr>
                <w:rFonts w:ascii="Times New Roman"/>
                <w:b w:val="false"/>
                <w:i w:val="false"/>
                <w:color w:val="000000"/>
                <w:sz w:val="20"/>
              </w:rPr>
              <w:t>
(размер</w:t>
            </w:r>
            <w:r>
              <w:br/>
            </w:r>
            <w:r>
              <w:rPr>
                <w:rFonts w:ascii="Times New Roman"/>
                <w:b w:val="false"/>
                <w:i w:val="false"/>
                <w:color w:val="000000"/>
                <w:sz w:val="20"/>
              </w:rPr>
              <w:t>
отри-</w:t>
            </w:r>
            <w:r>
              <w:br/>
            </w:r>
            <w:r>
              <w:rPr>
                <w:rFonts w:ascii="Times New Roman"/>
                <w:b w:val="false"/>
                <w:i w:val="false"/>
                <w:color w:val="000000"/>
                <w:sz w:val="20"/>
              </w:rPr>
              <w:t>
цатель-</w:t>
            </w:r>
            <w:r>
              <w:br/>
            </w:r>
            <w:r>
              <w:rPr>
                <w:rFonts w:ascii="Times New Roman"/>
                <w:b w:val="false"/>
                <w:i w:val="false"/>
                <w:color w:val="000000"/>
                <w:sz w:val="20"/>
              </w:rPr>
              <w:t>
ной</w:t>
            </w:r>
            <w:r>
              <w:br/>
            </w:r>
            <w:r>
              <w:rPr>
                <w:rFonts w:ascii="Times New Roman"/>
                <w:b w:val="false"/>
                <w:i w:val="false"/>
                <w:color w:val="000000"/>
                <w:sz w:val="20"/>
              </w:rPr>
              <w:t>
кор-</w:t>
            </w:r>
            <w:r>
              <w:br/>
            </w:r>
            <w:r>
              <w:rPr>
                <w:rFonts w:ascii="Times New Roman"/>
                <w:b w:val="false"/>
                <w:i w:val="false"/>
                <w:color w:val="000000"/>
                <w:sz w:val="20"/>
              </w:rPr>
              <w:t>
ректи-</w:t>
            </w:r>
            <w:r>
              <w:br/>
            </w:r>
            <w:r>
              <w:rPr>
                <w:rFonts w:ascii="Times New Roman"/>
                <w:b w:val="false"/>
                <w:i w:val="false"/>
                <w:color w:val="000000"/>
                <w:sz w:val="20"/>
              </w:rPr>
              <w:t>
ровки)</w:t>
            </w:r>
            <w:r>
              <w:br/>
            </w:r>
            <w:r>
              <w:rPr>
                <w:rFonts w:ascii="Times New Roman"/>
                <w:b w:val="false"/>
                <w:i w:val="false"/>
                <w:color w:val="000000"/>
                <w:sz w:val="20"/>
              </w:rPr>
              <w:t>
сло-</w:t>
            </w:r>
            <w:r>
              <w:br/>
            </w:r>
            <w:r>
              <w:rPr>
                <w:rFonts w:ascii="Times New Roman"/>
                <w:b w:val="false"/>
                <w:i w:val="false"/>
                <w:color w:val="000000"/>
                <w:sz w:val="20"/>
              </w:rPr>
              <w:t>
жив-</w:t>
            </w:r>
            <w:r>
              <w:br/>
            </w:r>
            <w:r>
              <w:rPr>
                <w:rFonts w:ascii="Times New Roman"/>
                <w:b w:val="false"/>
                <w:i w:val="false"/>
                <w:color w:val="000000"/>
                <w:sz w:val="20"/>
              </w:rPr>
              <w:t>
шейся</w:t>
            </w:r>
            <w:r>
              <w:br/>
            </w:r>
            <w:r>
              <w:rPr>
                <w:rFonts w:ascii="Times New Roman"/>
                <w:b w:val="false"/>
                <w:i w:val="false"/>
                <w:color w:val="000000"/>
                <w:sz w:val="20"/>
              </w:rPr>
              <w:t>
вслед-</w:t>
            </w:r>
            <w:r>
              <w:br/>
            </w:r>
            <w:r>
              <w:rPr>
                <w:rFonts w:ascii="Times New Roman"/>
                <w:b w:val="false"/>
                <w:i w:val="false"/>
                <w:color w:val="000000"/>
                <w:sz w:val="20"/>
              </w:rPr>
              <w:t>
ствие</w:t>
            </w:r>
            <w:r>
              <w:br/>
            </w:r>
            <w:r>
              <w:rPr>
                <w:rFonts w:ascii="Times New Roman"/>
                <w:b w:val="false"/>
                <w:i w:val="false"/>
                <w:color w:val="000000"/>
                <w:sz w:val="20"/>
              </w:rPr>
              <w:t>
прочей</w:t>
            </w:r>
            <w:r>
              <w:br/>
            </w:r>
            <w:r>
              <w:rPr>
                <w:rFonts w:ascii="Times New Roman"/>
                <w:b w:val="false"/>
                <w:i w:val="false"/>
                <w:color w:val="000000"/>
                <w:sz w:val="20"/>
              </w:rPr>
              <w:t>
перео-</w:t>
            </w:r>
            <w:r>
              <w:br/>
            </w:r>
            <w:r>
              <w:rPr>
                <w:rFonts w:ascii="Times New Roman"/>
                <w:b w:val="false"/>
                <w:i w:val="false"/>
                <w:color w:val="000000"/>
                <w:sz w:val="20"/>
              </w:rPr>
              <w:t>
ценки</w:t>
            </w:r>
            <w:r>
              <w:br/>
            </w:r>
            <w:r>
              <w:rPr>
                <w:rFonts w:ascii="Times New Roman"/>
                <w:b w:val="false"/>
                <w:i w:val="false"/>
                <w:color w:val="000000"/>
                <w:sz w:val="20"/>
              </w:rPr>
              <w:t>
ценных</w:t>
            </w:r>
            <w:r>
              <w:br/>
            </w:r>
            <w:r>
              <w:rPr>
                <w:rFonts w:ascii="Times New Roman"/>
                <w:b w:val="false"/>
                <w:i w:val="false"/>
                <w:color w:val="000000"/>
                <w:sz w:val="20"/>
              </w:rPr>
              <w:t>
бумаг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w:t>
            </w:r>
            <w:r>
              <w:br/>
            </w:r>
            <w:r>
              <w:rPr>
                <w:rFonts w:ascii="Times New Roman"/>
                <w:b w:val="false"/>
                <w:i w:val="false"/>
                <w:color w:val="000000"/>
                <w:sz w:val="20"/>
              </w:rPr>
              <w:t>
рете-</w:t>
            </w:r>
            <w:r>
              <w:br/>
            </w:r>
            <w:r>
              <w:rPr>
                <w:rFonts w:ascii="Times New Roman"/>
                <w:b w:val="false"/>
                <w:i w:val="false"/>
                <w:color w:val="000000"/>
                <w:sz w:val="20"/>
              </w:rPr>
              <w:t>
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w:t>
            </w:r>
            <w:r>
              <w:br/>
            </w:r>
            <w:r>
              <w:rPr>
                <w:rFonts w:ascii="Times New Roman"/>
                <w:b w:val="false"/>
                <w:i w:val="false"/>
                <w:color w:val="000000"/>
                <w:sz w:val="20"/>
              </w:rPr>
              <w:t>
шения</w:t>
            </w:r>
            <w:r>
              <w:br/>
            </w:r>
            <w:r>
              <w:rPr>
                <w:rFonts w:ascii="Times New Roman"/>
                <w:b w:val="false"/>
                <w:i w:val="false"/>
                <w:color w:val="000000"/>
                <w:sz w:val="20"/>
              </w:rPr>
              <w:t>
(реа-</w:t>
            </w:r>
            <w:r>
              <w:br/>
            </w:r>
            <w:r>
              <w:rPr>
                <w:rFonts w:ascii="Times New Roman"/>
                <w:b w:val="false"/>
                <w:i w:val="false"/>
                <w:color w:val="000000"/>
                <w:sz w:val="20"/>
              </w:rPr>
              <w:t>
лиза-</w:t>
            </w:r>
            <w:r>
              <w:br/>
            </w:r>
            <w:r>
              <w:rPr>
                <w:rFonts w:ascii="Times New Roman"/>
                <w:b w:val="false"/>
                <w:i w:val="false"/>
                <w:color w:val="000000"/>
                <w:sz w:val="20"/>
              </w:rPr>
              <w:t>
ции)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w:t>
            </w:r>
            <w:r>
              <w:br/>
            </w:r>
            <w:r>
              <w:rPr>
                <w:rFonts w:ascii="Times New Roman"/>
                <w:b w:val="false"/>
                <w:i w:val="false"/>
                <w:color w:val="000000"/>
                <w:sz w:val="20"/>
              </w:rPr>
              <w:t>
тен-</w:t>
            </w:r>
            <w:r>
              <w:br/>
            </w:r>
            <w:r>
              <w:rPr>
                <w:rFonts w:ascii="Times New Roman"/>
                <w:b w:val="false"/>
                <w:i w:val="false"/>
                <w:color w:val="000000"/>
                <w:sz w:val="20"/>
              </w:rPr>
              <w:t>
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w:t>
            </w:r>
            <w:r>
              <w:br/>
            </w:r>
            <w:r>
              <w:rPr>
                <w:rFonts w:ascii="Times New Roman"/>
                <w:b w:val="false"/>
                <w:i w:val="false"/>
                <w:color w:val="000000"/>
                <w:sz w:val="20"/>
              </w:rPr>
              <w:t>
ной</w:t>
            </w:r>
            <w:r>
              <w:br/>
            </w:r>
            <w:r>
              <w:rPr>
                <w:rFonts w:ascii="Times New Roman"/>
                <w:b w:val="false"/>
                <w:i w:val="false"/>
                <w:color w:val="000000"/>
                <w:sz w:val="20"/>
              </w:rPr>
              <w:t>
бума-</w:t>
            </w:r>
            <w:r>
              <w:br/>
            </w:r>
            <w:r>
              <w:rPr>
                <w:rFonts w:ascii="Times New Roman"/>
                <w:b w:val="false"/>
                <w:i w:val="false"/>
                <w:color w:val="000000"/>
                <w:sz w:val="20"/>
              </w:rPr>
              <w:t>
ги</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портфель ценных бумаг</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Исполнитель (подпись, номер телефона) Фамилия, имя, отчество (при наличии)</w:t>
      </w:r>
    </w:p>
    <w:bookmarkStart w:name="z91" w:id="83"/>
    <w:p>
      <w:pPr>
        <w:spacing w:after="0"/>
        <w:ind w:left="0"/>
        <w:jc w:val="both"/>
      </w:pPr>
      <w:r>
        <w:rPr>
          <w:rFonts w:ascii="Times New Roman"/>
          <w:b w:val="false"/>
          <w:i w:val="false"/>
          <w:color w:val="000000"/>
          <w:sz w:val="28"/>
        </w:rPr>
        <w:t>
      Примечание:</w:t>
      </w:r>
    </w:p>
    <w:bookmarkEnd w:id="83"/>
    <w:p>
      <w:pPr>
        <w:spacing w:after="0"/>
        <w:ind w:left="0"/>
        <w:jc w:val="both"/>
      </w:pPr>
      <w:r>
        <w:rPr>
          <w:rFonts w:ascii="Times New Roman"/>
          <w:b w:val="false"/>
          <w:i w:val="false"/>
          <w:color w:val="000000"/>
          <w:sz w:val="28"/>
        </w:rPr>
        <w:t xml:space="preserve">
      в сведении по структуре портфеля ценных бумаг участников банковского конгломерата указываются все инвестиции, за исключением,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настоящей Нормативным значениям.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лимитов для банковского</w:t>
            </w:r>
            <w:r>
              <w:br/>
            </w:r>
            <w:r>
              <w:rPr>
                <w:rFonts w:ascii="Times New Roman"/>
                <w:b w:val="false"/>
                <w:i w:val="false"/>
                <w:color w:val="000000"/>
                <w:sz w:val="20"/>
              </w:rPr>
              <w:t>конгломерата, а также формам и срокам</w:t>
            </w:r>
            <w:r>
              <w:br/>
            </w:r>
            <w:r>
              <w:rPr>
                <w:rFonts w:ascii="Times New Roman"/>
                <w:b w:val="false"/>
                <w:i w:val="false"/>
                <w:color w:val="000000"/>
                <w:sz w:val="20"/>
              </w:rPr>
              <w:t>представления отчетности</w:t>
            </w:r>
          </w:p>
        </w:tc>
      </w:tr>
    </w:tbl>
    <w:bookmarkStart w:name="z93" w:id="84"/>
    <w:p>
      <w:pPr>
        <w:spacing w:after="0"/>
        <w:ind w:left="0"/>
        <w:jc w:val="both"/>
      </w:pPr>
      <w:r>
        <w:rPr>
          <w:rFonts w:ascii="Times New Roman"/>
          <w:b w:val="false"/>
          <w:i w:val="false"/>
          <w:color w:val="000000"/>
          <w:sz w:val="28"/>
        </w:rPr>
        <w:t>
      Форма</w:t>
      </w:r>
    </w:p>
    <w:bookmarkEnd w:id="84"/>
    <w:bookmarkStart w:name="z94" w:id="85"/>
    <w:p>
      <w:pPr>
        <w:spacing w:after="0"/>
        <w:ind w:left="0"/>
        <w:jc w:val="left"/>
      </w:pPr>
      <w:r>
        <w:rPr>
          <w:rFonts w:ascii="Times New Roman"/>
          <w:b/>
          <w:i w:val="false"/>
          <w:color w:val="000000"/>
        </w:rPr>
        <w:t xml:space="preserve"> Внутригрупповые сделки банковского конгломерата, заключенные в</w:t>
      </w:r>
      <w:r>
        <w:br/>
      </w:r>
      <w:r>
        <w:rPr>
          <w:rFonts w:ascii="Times New Roman"/>
          <w:b/>
          <w:i w:val="false"/>
          <w:color w:val="000000"/>
        </w:rPr>
        <w:t>течение отчетного периода, а также действующие по состоянию на</w:t>
      </w:r>
      <w:r>
        <w:br/>
      </w:r>
      <w:r>
        <w:rPr>
          <w:rFonts w:ascii="Times New Roman"/>
          <w:b/>
          <w:i w:val="false"/>
          <w:color w:val="000000"/>
        </w:rPr>
        <w:t>"__" ___________ 20__ года</w:t>
      </w:r>
    </w:p>
    <w:bookmarkEnd w:id="85"/>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банковского конгломерата)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2340"/>
        <w:gridCol w:w="1322"/>
        <w:gridCol w:w="813"/>
        <w:gridCol w:w="1998"/>
        <w:gridCol w:w="1998"/>
        <w:gridCol w:w="1999"/>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участника</w:t>
            </w:r>
            <w:r>
              <w:br/>
            </w:r>
            <w:r>
              <w:rPr>
                <w:rFonts w:ascii="Times New Roman"/>
                <w:b w:val="false"/>
                <w:i w:val="false"/>
                <w:color w:val="000000"/>
                <w:sz w:val="20"/>
              </w:rPr>
              <w:t>
банковского</w:t>
            </w:r>
            <w:r>
              <w:br/>
            </w:r>
            <w:r>
              <w:rPr>
                <w:rFonts w:ascii="Times New Roman"/>
                <w:b w:val="false"/>
                <w:i w:val="false"/>
                <w:color w:val="000000"/>
                <w:sz w:val="20"/>
              </w:rPr>
              <w:t>
конгломерата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контрагента</w:t>
            </w:r>
            <w:r>
              <w:br/>
            </w:r>
            <w:r>
              <w:rPr>
                <w:rFonts w:ascii="Times New Roman"/>
                <w:b w:val="false"/>
                <w:i w:val="false"/>
                <w:color w:val="000000"/>
                <w:sz w:val="20"/>
              </w:rPr>
              <w:t>
по операции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операции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w:t>
            </w:r>
            <w:r>
              <w:br/>
            </w:r>
            <w:r>
              <w:rPr>
                <w:rFonts w:ascii="Times New Roman"/>
                <w:b w:val="false"/>
                <w:i w:val="false"/>
                <w:color w:val="000000"/>
                <w:sz w:val="20"/>
              </w:rPr>
              <w:t>
тысячах</w:t>
            </w:r>
            <w:r>
              <w:br/>
            </w:r>
            <w:r>
              <w:rPr>
                <w:rFonts w:ascii="Times New Roman"/>
                <w:b w:val="false"/>
                <w:i w:val="false"/>
                <w:color w:val="000000"/>
                <w:sz w:val="20"/>
              </w:rPr>
              <w:t>
тенге)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заключения</w:t>
            </w:r>
            <w:r>
              <w:br/>
            </w:r>
            <w:r>
              <w:rPr>
                <w:rFonts w:ascii="Times New Roman"/>
                <w:b w:val="false"/>
                <w:i w:val="false"/>
                <w:color w:val="000000"/>
                <w:sz w:val="20"/>
              </w:rPr>
              <w:t>
(дата начала</w:t>
            </w:r>
            <w:r>
              <w:br/>
            </w:r>
            <w:r>
              <w:rPr>
                <w:rFonts w:ascii="Times New Roman"/>
                <w:b w:val="false"/>
                <w:i w:val="false"/>
                <w:color w:val="000000"/>
                <w:sz w:val="20"/>
              </w:rPr>
              <w:t>
выполнения</w:t>
            </w:r>
            <w:r>
              <w:br/>
            </w:r>
            <w:r>
              <w:rPr>
                <w:rFonts w:ascii="Times New Roman"/>
                <w:b w:val="false"/>
                <w:i w:val="false"/>
                <w:color w:val="000000"/>
                <w:sz w:val="20"/>
              </w:rPr>
              <w:t>
условий)</w:t>
            </w:r>
            <w:r>
              <w:br/>
            </w:r>
            <w:r>
              <w:rPr>
                <w:rFonts w:ascii="Times New Roman"/>
                <w:b w:val="false"/>
                <w:i w:val="false"/>
                <w:color w:val="000000"/>
                <w:sz w:val="20"/>
              </w:rPr>
              <w:t>
договора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окончания действия</w:t>
            </w:r>
            <w:r>
              <w:br/>
            </w:r>
            <w:r>
              <w:rPr>
                <w:rFonts w:ascii="Times New Roman"/>
                <w:b w:val="false"/>
                <w:i w:val="false"/>
                <w:color w:val="000000"/>
                <w:sz w:val="20"/>
              </w:rPr>
              <w:t>
(дата окончания</w:t>
            </w:r>
            <w:r>
              <w:br/>
            </w:r>
            <w:r>
              <w:rPr>
                <w:rFonts w:ascii="Times New Roman"/>
                <w:b w:val="false"/>
                <w:i w:val="false"/>
                <w:color w:val="000000"/>
                <w:sz w:val="20"/>
              </w:rPr>
              <w:t>
выполнения</w:t>
            </w:r>
            <w:r>
              <w:br/>
            </w:r>
            <w:r>
              <w:rPr>
                <w:rFonts w:ascii="Times New Roman"/>
                <w:b w:val="false"/>
                <w:i w:val="false"/>
                <w:color w:val="000000"/>
                <w:sz w:val="20"/>
              </w:rPr>
              <w:t>
условий) договора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(отток средств) к участникам банковского конгломерата</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n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требований</w:t>
            </w:r>
            <w:r>
              <w:br/>
            </w:r>
            <w:r>
              <w:rPr>
                <w:rFonts w:ascii="Times New Roman"/>
                <w:b w:val="false"/>
                <w:i w:val="false"/>
                <w:color w:val="000000"/>
                <w:sz w:val="20"/>
              </w:rPr>
              <w:t>
(оттока средств)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(приток средств) к участникам банковского конгломерата</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n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обязательств</w:t>
            </w:r>
            <w:r>
              <w:br/>
            </w:r>
            <w:r>
              <w:rPr>
                <w:rFonts w:ascii="Times New Roman"/>
                <w:b w:val="false"/>
                <w:i w:val="false"/>
                <w:color w:val="000000"/>
                <w:sz w:val="20"/>
              </w:rPr>
              <w:t>
(притока средств)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Исполнитель (подпись, номер телефона) Фамилия, имя, отчество (при наличии)</w:t>
      </w:r>
    </w:p>
    <w:bookmarkStart w:name="z95" w:id="86"/>
    <w:p>
      <w:pPr>
        <w:spacing w:after="0"/>
        <w:ind w:left="0"/>
        <w:jc w:val="both"/>
      </w:pPr>
      <w:r>
        <w:rPr>
          <w:rFonts w:ascii="Times New Roman"/>
          <w:b w:val="false"/>
          <w:i w:val="false"/>
          <w:color w:val="000000"/>
          <w:sz w:val="28"/>
        </w:rPr>
        <w:t>
      Примечание:</w:t>
      </w:r>
    </w:p>
    <w:bookmarkEnd w:id="86"/>
    <w:p>
      <w:pPr>
        <w:spacing w:after="0"/>
        <w:ind w:left="0"/>
        <w:jc w:val="both"/>
      </w:pPr>
      <w:r>
        <w:rPr>
          <w:rFonts w:ascii="Times New Roman"/>
          <w:b w:val="false"/>
          <w:i w:val="false"/>
          <w:color w:val="000000"/>
          <w:sz w:val="28"/>
        </w:rPr>
        <w:t xml:space="preserve">
      в сведении по внутригрупповым сделкам банковского конгломерата, указываются все сделки, за исключением сделок, указанных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Нормативным значениям.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лимитов для банковского</w:t>
            </w:r>
            <w:r>
              <w:br/>
            </w:r>
            <w:r>
              <w:rPr>
                <w:rFonts w:ascii="Times New Roman"/>
                <w:b w:val="false"/>
                <w:i w:val="false"/>
                <w:color w:val="000000"/>
                <w:sz w:val="20"/>
              </w:rPr>
              <w:t>конгломерата, а также формам и срокам</w:t>
            </w:r>
            <w:r>
              <w:br/>
            </w:r>
            <w:r>
              <w:rPr>
                <w:rFonts w:ascii="Times New Roman"/>
                <w:b w:val="false"/>
                <w:i w:val="false"/>
                <w:color w:val="000000"/>
                <w:sz w:val="20"/>
              </w:rPr>
              <w:t>представления отчетности</w:t>
            </w:r>
          </w:p>
        </w:tc>
      </w:tr>
    </w:tbl>
    <w:bookmarkStart w:name="z97" w:id="87"/>
    <w:p>
      <w:pPr>
        <w:spacing w:after="0"/>
        <w:ind w:left="0"/>
        <w:jc w:val="both"/>
      </w:pPr>
      <w:r>
        <w:rPr>
          <w:rFonts w:ascii="Times New Roman"/>
          <w:b w:val="false"/>
          <w:i w:val="false"/>
          <w:color w:val="000000"/>
          <w:sz w:val="28"/>
        </w:rPr>
        <w:t xml:space="preserve">
      Форма </w:t>
      </w:r>
    </w:p>
    <w:bookmarkEnd w:id="87"/>
    <w:bookmarkStart w:name="z98" w:id="88"/>
    <w:p>
      <w:pPr>
        <w:spacing w:after="0"/>
        <w:ind w:left="0"/>
        <w:jc w:val="left"/>
      </w:pPr>
      <w:r>
        <w:rPr>
          <w:rFonts w:ascii="Times New Roman"/>
          <w:b/>
          <w:i w:val="false"/>
          <w:color w:val="000000"/>
        </w:rPr>
        <w:t xml:space="preserve"> Сведения обо всех обязательствах участников банковского</w:t>
      </w:r>
      <w:r>
        <w:br/>
      </w:r>
      <w:r>
        <w:rPr>
          <w:rFonts w:ascii="Times New Roman"/>
          <w:b/>
          <w:i w:val="false"/>
          <w:color w:val="000000"/>
        </w:rPr>
        <w:t>конгломерата перед третьими лицами, составляющих десять и более</w:t>
      </w:r>
      <w:r>
        <w:br/>
      </w:r>
      <w:r>
        <w:rPr>
          <w:rFonts w:ascii="Times New Roman"/>
          <w:b/>
          <w:i w:val="false"/>
          <w:color w:val="000000"/>
        </w:rPr>
        <w:t>процентов от собственного капитала банковского конгломерата</w:t>
      </w:r>
      <w:r>
        <w:br/>
      </w:r>
      <w:r>
        <w:rPr>
          <w:rFonts w:ascii="Times New Roman"/>
          <w:b/>
          <w:i w:val="false"/>
          <w:color w:val="000000"/>
        </w:rPr>
        <w:t>действующих по состоянию на отчетную дату</w:t>
      </w:r>
    </w:p>
    <w:bookmarkEnd w:id="88"/>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банковского конгломерата)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постановления Правления Национального Банка РК от 24.12.2012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886"/>
        <w:gridCol w:w="887"/>
        <w:gridCol w:w="887"/>
        <w:gridCol w:w="2180"/>
        <w:gridCol w:w="2180"/>
        <w:gridCol w:w="2181"/>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контрагента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операции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валюты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(в тысячах</w:t>
            </w:r>
            <w:r>
              <w:br/>
            </w:r>
            <w:r>
              <w:rPr>
                <w:rFonts w:ascii="Times New Roman"/>
                <w:b w:val="false"/>
                <w:i w:val="false"/>
                <w:color w:val="000000"/>
                <w:sz w:val="20"/>
              </w:rPr>
              <w:t>
тенге)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заключения</w:t>
            </w:r>
            <w:r>
              <w:br/>
            </w:r>
            <w:r>
              <w:rPr>
                <w:rFonts w:ascii="Times New Roman"/>
                <w:b w:val="false"/>
                <w:i w:val="false"/>
                <w:color w:val="000000"/>
                <w:sz w:val="20"/>
              </w:rPr>
              <w:t>
(дата начала</w:t>
            </w:r>
            <w:r>
              <w:br/>
            </w:r>
            <w:r>
              <w:rPr>
                <w:rFonts w:ascii="Times New Roman"/>
                <w:b w:val="false"/>
                <w:i w:val="false"/>
                <w:color w:val="000000"/>
                <w:sz w:val="20"/>
              </w:rPr>
              <w:t>
выполнения</w:t>
            </w:r>
            <w:r>
              <w:br/>
            </w:r>
            <w:r>
              <w:rPr>
                <w:rFonts w:ascii="Times New Roman"/>
                <w:b w:val="false"/>
                <w:i w:val="false"/>
                <w:color w:val="000000"/>
                <w:sz w:val="20"/>
              </w:rPr>
              <w:t>
условий)</w:t>
            </w:r>
            <w:r>
              <w:br/>
            </w:r>
            <w:r>
              <w:rPr>
                <w:rFonts w:ascii="Times New Roman"/>
                <w:b w:val="false"/>
                <w:i w:val="false"/>
                <w:color w:val="000000"/>
                <w:sz w:val="20"/>
              </w:rPr>
              <w:t>
договора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r>
              <w:br/>
            </w:r>
            <w:r>
              <w:rPr>
                <w:rFonts w:ascii="Times New Roman"/>
                <w:b w:val="false"/>
                <w:i w:val="false"/>
                <w:color w:val="000000"/>
                <w:sz w:val="20"/>
              </w:rPr>
              <w:t>
действия (дата</w:t>
            </w:r>
            <w:r>
              <w:br/>
            </w:r>
            <w:r>
              <w:rPr>
                <w:rFonts w:ascii="Times New Roman"/>
                <w:b w:val="false"/>
                <w:i w:val="false"/>
                <w:color w:val="000000"/>
                <w:sz w:val="20"/>
              </w:rPr>
              <w:t>
окончания</w:t>
            </w:r>
            <w:r>
              <w:br/>
            </w:r>
            <w:r>
              <w:rPr>
                <w:rFonts w:ascii="Times New Roman"/>
                <w:b w:val="false"/>
                <w:i w:val="false"/>
                <w:color w:val="000000"/>
                <w:sz w:val="20"/>
              </w:rPr>
              <w:t>
выполнения</w:t>
            </w:r>
            <w:r>
              <w:br/>
            </w:r>
            <w:r>
              <w:rPr>
                <w:rFonts w:ascii="Times New Roman"/>
                <w:b w:val="false"/>
                <w:i w:val="false"/>
                <w:color w:val="000000"/>
                <w:sz w:val="20"/>
              </w:rPr>
              <w:t>
условий) договора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r>
              <w:br/>
            </w:r>
            <w:r>
              <w:rPr>
                <w:rFonts w:ascii="Times New Roman"/>
                <w:b w:val="false"/>
                <w:i w:val="false"/>
                <w:color w:val="000000"/>
                <w:sz w:val="20"/>
              </w:rPr>
              <w:t>
участника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r>
              <w:br/>
            </w:r>
            <w:r>
              <w:rPr>
                <w:rFonts w:ascii="Times New Roman"/>
                <w:b w:val="false"/>
                <w:i w:val="false"/>
                <w:color w:val="000000"/>
                <w:sz w:val="20"/>
              </w:rPr>
              <w:t>
участника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r>
              <w:br/>
            </w:r>
            <w:r>
              <w:rPr>
                <w:rFonts w:ascii="Times New Roman"/>
                <w:b w:val="false"/>
                <w:i w:val="false"/>
                <w:color w:val="000000"/>
                <w:sz w:val="20"/>
              </w:rPr>
              <w:t>
участника n</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(лицо, уполномоченное на (подпись) Фамилия, имя, отчество (при наличии)</w:t>
      </w:r>
    </w:p>
    <w:p>
      <w:pPr>
        <w:spacing w:after="0"/>
        <w:ind w:left="0"/>
        <w:jc w:val="both"/>
      </w:pPr>
      <w:r>
        <w:rPr>
          <w:rFonts w:ascii="Times New Roman"/>
          <w:b w:val="false"/>
          <w:i w:val="false"/>
          <w:color w:val="000000"/>
          <w:sz w:val="28"/>
        </w:rPr>
        <w:t>
      подписание отчета)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Исполнитель (подпись, номер телефона)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