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fcd6" w14:textId="1c1f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клиринговой деятельности по сделкам с финансовыми инструментами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2012 года № 58. Зарегистрировано в Министерстве юстиции Республики Казахстан 11 апреля 2012 года № 7555. Утратило силу постановлением Правления Национального Банка Республики Казахстан от 29 октября 2018 года № 254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29.10.2018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декабря 2011 года "О внесении изменений и дополнений в законодательные акты Республики Казахстан по вопросам регулирования банковской деятельности и финансовых организаций в части минимизации рисков"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клиринговой деятельности по сделкам с финансовыми инструментами.</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 1 июля 2012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58</w:t>
            </w:r>
          </w:p>
        </w:tc>
      </w:tr>
    </w:tbl>
    <w:bookmarkStart w:name="z5" w:id="3"/>
    <w:p>
      <w:pPr>
        <w:spacing w:after="0"/>
        <w:ind w:left="0"/>
        <w:jc w:val="left"/>
      </w:pPr>
      <w:r>
        <w:rPr>
          <w:rFonts w:ascii="Times New Roman"/>
          <w:b/>
          <w:i w:val="false"/>
          <w:color w:val="000000"/>
        </w:rPr>
        <w:t xml:space="preserve"> Правила осуществления клиринговой деятельности</w:t>
      </w:r>
      <w:r>
        <w:br/>
      </w:r>
      <w:r>
        <w:rPr>
          <w:rFonts w:ascii="Times New Roman"/>
          <w:b/>
          <w:i w:val="false"/>
          <w:color w:val="000000"/>
        </w:rPr>
        <w:t>по сделкам с финансовыми инструментами</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xml:space="preserve">
      Настоящие Правила осуществления клиринговой деятельности по сделкам с финансовыми инструментами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и определяют условия и порядок осуществления клиринговой деятельности по сделкам с финансовыми инструментами.</w:t>
      </w:r>
    </w:p>
    <w:bookmarkEnd w:id="5"/>
    <w:bookmarkStart w:name="z8" w:id="6"/>
    <w:p>
      <w:pPr>
        <w:spacing w:after="0"/>
        <w:ind w:left="0"/>
        <w:jc w:val="both"/>
      </w:pPr>
      <w:r>
        <w:rPr>
          <w:rFonts w:ascii="Times New Roman"/>
          <w:b w:val="false"/>
          <w:i w:val="false"/>
          <w:color w:val="000000"/>
          <w:sz w:val="28"/>
        </w:rPr>
        <w:t>
      1. Для целей Правил используются следующие понятия:</w:t>
      </w:r>
    </w:p>
    <w:bookmarkEnd w:id="6"/>
    <w:bookmarkStart w:name="z9" w:id="7"/>
    <w:p>
      <w:pPr>
        <w:spacing w:after="0"/>
        <w:ind w:left="0"/>
        <w:jc w:val="both"/>
      </w:pPr>
      <w:r>
        <w:rPr>
          <w:rFonts w:ascii="Times New Roman"/>
          <w:b w:val="false"/>
          <w:i w:val="false"/>
          <w:color w:val="000000"/>
          <w:sz w:val="28"/>
        </w:rPr>
        <w:t>
      1) расчетная организация – центральный депозитарий и (или) иная организация, осуществляющая организацию расчетов (платежей) по сделкам с финансовыми инструментами;</w:t>
      </w:r>
    </w:p>
    <w:bookmarkEnd w:id="7"/>
    <w:bookmarkStart w:name="z10" w:id="8"/>
    <w:p>
      <w:pPr>
        <w:spacing w:after="0"/>
        <w:ind w:left="0"/>
        <w:jc w:val="both"/>
      </w:pPr>
      <w:r>
        <w:rPr>
          <w:rFonts w:ascii="Times New Roman"/>
          <w:b w:val="false"/>
          <w:i w:val="false"/>
          <w:color w:val="000000"/>
          <w:sz w:val="28"/>
        </w:rPr>
        <w:t>
      2) клиринг – процесс определения, проверки и передачи информации о требованиях и (или) обязательствах клиринговых участников торгов в результате совершения ими сделок с финансовыми инструментами;</w:t>
      </w:r>
    </w:p>
    <w:bookmarkEnd w:id="8"/>
    <w:bookmarkStart w:name="z11" w:id="9"/>
    <w:p>
      <w:pPr>
        <w:spacing w:after="0"/>
        <w:ind w:left="0"/>
        <w:jc w:val="both"/>
      </w:pPr>
      <w:r>
        <w:rPr>
          <w:rFonts w:ascii="Times New Roman"/>
          <w:b w:val="false"/>
          <w:i w:val="false"/>
          <w:color w:val="000000"/>
          <w:sz w:val="28"/>
        </w:rPr>
        <w:t>
      3) клиринговая организация – организация, обладающая лицензией на клиринговую деятельность по сделкам с финансовыми инструментами, и центральный депозитарий;</w:t>
      </w:r>
    </w:p>
    <w:bookmarkEnd w:id="9"/>
    <w:bookmarkStart w:name="z12" w:id="10"/>
    <w:p>
      <w:pPr>
        <w:spacing w:after="0"/>
        <w:ind w:left="0"/>
        <w:jc w:val="both"/>
      </w:pPr>
      <w:r>
        <w:rPr>
          <w:rFonts w:ascii="Times New Roman"/>
          <w:b w:val="false"/>
          <w:i w:val="false"/>
          <w:color w:val="000000"/>
          <w:sz w:val="28"/>
        </w:rPr>
        <w:t>
      4) правила клиринговой организации – внутренние документы клиринговой организации, определяющие порядок взаимоотношения клиринговой организации с субъектами, пользующимися услугами клиринговой организации;</w:t>
      </w:r>
    </w:p>
    <w:bookmarkEnd w:id="10"/>
    <w:bookmarkStart w:name="z13" w:id="11"/>
    <w:p>
      <w:pPr>
        <w:spacing w:after="0"/>
        <w:ind w:left="0"/>
        <w:jc w:val="both"/>
      </w:pPr>
      <w:r>
        <w:rPr>
          <w:rFonts w:ascii="Times New Roman"/>
          <w:b w:val="false"/>
          <w:i w:val="false"/>
          <w:color w:val="000000"/>
          <w:sz w:val="28"/>
        </w:rPr>
        <w:t>
      5) клиринговый участник торгов – юридическое лицо, заключившее договор об осуществлении клирингового обслуживания с клиринговой организацией, являющееся одним из следующих лиц:</w:t>
      </w:r>
    </w:p>
    <w:bookmarkEnd w:id="11"/>
    <w:p>
      <w:pPr>
        <w:spacing w:after="0"/>
        <w:ind w:left="0"/>
        <w:jc w:val="both"/>
      </w:pPr>
      <w:r>
        <w:rPr>
          <w:rFonts w:ascii="Times New Roman"/>
          <w:b w:val="false"/>
          <w:i w:val="false"/>
          <w:color w:val="000000"/>
          <w:sz w:val="28"/>
        </w:rPr>
        <w:t>
      членом фондовой и (или) товарной биржи;</w:t>
      </w:r>
    </w:p>
    <w:p>
      <w:pPr>
        <w:spacing w:after="0"/>
        <w:ind w:left="0"/>
        <w:jc w:val="both"/>
      </w:pPr>
      <w:r>
        <w:rPr>
          <w:rFonts w:ascii="Times New Roman"/>
          <w:b w:val="false"/>
          <w:i w:val="false"/>
          <w:color w:val="000000"/>
          <w:sz w:val="28"/>
        </w:rPr>
        <w:t>
      клиентом котировочной организации внебиржевого рынка ценных бумаг;</w:t>
      </w:r>
    </w:p>
    <w:p>
      <w:pPr>
        <w:spacing w:after="0"/>
        <w:ind w:left="0"/>
        <w:jc w:val="both"/>
      </w:pPr>
      <w:r>
        <w:rPr>
          <w:rFonts w:ascii="Times New Roman"/>
          <w:b w:val="false"/>
          <w:i w:val="false"/>
          <w:color w:val="000000"/>
          <w:sz w:val="28"/>
        </w:rPr>
        <w:t>
      лицом, подключенным к системе подтверждения фондовой биржи;</w:t>
      </w:r>
    </w:p>
    <w:bookmarkStart w:name="z14" w:id="12"/>
    <w:p>
      <w:pPr>
        <w:spacing w:after="0"/>
        <w:ind w:left="0"/>
        <w:jc w:val="both"/>
      </w:pPr>
      <w:r>
        <w:rPr>
          <w:rFonts w:ascii="Times New Roman"/>
          <w:b w:val="false"/>
          <w:i w:val="false"/>
          <w:color w:val="000000"/>
          <w:sz w:val="28"/>
        </w:rPr>
        <w:t>
      6) чистая позиция (нетто-позиция) - позиция клирингового участника торгов по каждой серии сделок с финансовыми инструментами, определяемая в результате взаимозачета требований и обязательств клирингового участника торгов и (или) его клиентов, возникших в результате сделок с данными финансовыми инструментами;</w:t>
      </w:r>
    </w:p>
    <w:bookmarkEnd w:id="12"/>
    <w:bookmarkStart w:name="z15" w:id="13"/>
    <w:p>
      <w:pPr>
        <w:spacing w:after="0"/>
        <w:ind w:left="0"/>
        <w:jc w:val="both"/>
      </w:pPr>
      <w:r>
        <w:rPr>
          <w:rFonts w:ascii="Times New Roman"/>
          <w:b w:val="false"/>
          <w:i w:val="false"/>
          <w:color w:val="000000"/>
          <w:sz w:val="28"/>
        </w:rPr>
        <w:t>
      7) уполномоченный орган – уполномоченный орган по регулированию, контролю и надзору финансового рынка и финансовых организаций.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04.07.2012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28.01.2016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Организационная структура клиринговой организации включает в себя подразделения, основными функциями которых являются:</w:t>
      </w:r>
    </w:p>
    <w:bookmarkEnd w:id="14"/>
    <w:bookmarkStart w:name="z17" w:id="15"/>
    <w:p>
      <w:pPr>
        <w:spacing w:after="0"/>
        <w:ind w:left="0"/>
        <w:jc w:val="both"/>
      </w:pPr>
      <w:r>
        <w:rPr>
          <w:rFonts w:ascii="Times New Roman"/>
          <w:b w:val="false"/>
          <w:i w:val="false"/>
          <w:color w:val="000000"/>
          <w:sz w:val="28"/>
        </w:rPr>
        <w:t>
      1) осуществление клиринговой деятельности по сделкам с финансовыми инструментами;</w:t>
      </w:r>
    </w:p>
    <w:bookmarkEnd w:id="15"/>
    <w:bookmarkStart w:name="z18" w:id="16"/>
    <w:p>
      <w:pPr>
        <w:spacing w:after="0"/>
        <w:ind w:left="0"/>
        <w:jc w:val="both"/>
      </w:pPr>
      <w:r>
        <w:rPr>
          <w:rFonts w:ascii="Times New Roman"/>
          <w:b w:val="false"/>
          <w:i w:val="false"/>
          <w:color w:val="000000"/>
          <w:sz w:val="28"/>
        </w:rPr>
        <w:t>
      2) обработка и распространение информации;</w:t>
      </w:r>
    </w:p>
    <w:bookmarkEnd w:id="16"/>
    <w:bookmarkStart w:name="z19" w:id="17"/>
    <w:p>
      <w:pPr>
        <w:spacing w:after="0"/>
        <w:ind w:left="0"/>
        <w:jc w:val="both"/>
      </w:pPr>
      <w:r>
        <w:rPr>
          <w:rFonts w:ascii="Times New Roman"/>
          <w:b w:val="false"/>
          <w:i w:val="false"/>
          <w:color w:val="000000"/>
          <w:sz w:val="28"/>
        </w:rPr>
        <w:t>
      3) программно-техническое обеспечение деятельности клиринговой организации;</w:t>
      </w:r>
    </w:p>
    <w:bookmarkEnd w:id="17"/>
    <w:bookmarkStart w:name="z20" w:id="18"/>
    <w:p>
      <w:pPr>
        <w:spacing w:after="0"/>
        <w:ind w:left="0"/>
        <w:jc w:val="both"/>
      </w:pPr>
      <w:r>
        <w:rPr>
          <w:rFonts w:ascii="Times New Roman"/>
          <w:b w:val="false"/>
          <w:i w:val="false"/>
          <w:color w:val="000000"/>
          <w:sz w:val="28"/>
        </w:rPr>
        <w:t>
      4) управление рисками клиринговой организации;</w:t>
      </w:r>
    </w:p>
    <w:bookmarkEnd w:id="18"/>
    <w:bookmarkStart w:name="z21" w:id="19"/>
    <w:p>
      <w:pPr>
        <w:spacing w:after="0"/>
        <w:ind w:left="0"/>
        <w:jc w:val="both"/>
      </w:pPr>
      <w:r>
        <w:rPr>
          <w:rFonts w:ascii="Times New Roman"/>
          <w:b w:val="false"/>
          <w:i w:val="false"/>
          <w:color w:val="000000"/>
          <w:sz w:val="28"/>
        </w:rPr>
        <w:t>
      5) мониторинг финансового состояния клиринговых участников торгов, а также их соответствия правилам клиринговой организации;</w:t>
      </w:r>
    </w:p>
    <w:bookmarkEnd w:id="19"/>
    <w:bookmarkStart w:name="z22" w:id="20"/>
    <w:p>
      <w:pPr>
        <w:spacing w:after="0"/>
        <w:ind w:left="0"/>
        <w:jc w:val="both"/>
      </w:pPr>
      <w:r>
        <w:rPr>
          <w:rFonts w:ascii="Times New Roman"/>
          <w:b w:val="false"/>
          <w:i w:val="false"/>
          <w:color w:val="000000"/>
          <w:sz w:val="28"/>
        </w:rPr>
        <w:t>
      6) внутренний аудит и контроль.</w:t>
      </w:r>
    </w:p>
    <w:bookmarkEnd w:id="20"/>
    <w:bookmarkStart w:name="z23" w:id="21"/>
    <w:p>
      <w:pPr>
        <w:spacing w:after="0"/>
        <w:ind w:left="0"/>
        <w:jc w:val="both"/>
      </w:pPr>
      <w:r>
        <w:rPr>
          <w:rFonts w:ascii="Times New Roman"/>
          <w:b w:val="false"/>
          <w:i w:val="false"/>
          <w:color w:val="000000"/>
          <w:sz w:val="28"/>
        </w:rPr>
        <w:t>
      3. Организатор торгов, совмещающий деятельность по организации торговли с ценными бумагами и иными финансовыми инструментами с клиринговой деятельностью, или центральный депозитарий, совмещающий депозитарную деятельность с клиринговой деятельностью, обеспечивает наличие:</w:t>
      </w:r>
    </w:p>
    <w:bookmarkEnd w:id="21"/>
    <w:bookmarkStart w:name="z24" w:id="22"/>
    <w:p>
      <w:pPr>
        <w:spacing w:after="0"/>
        <w:ind w:left="0"/>
        <w:jc w:val="both"/>
      </w:pPr>
      <w:r>
        <w:rPr>
          <w:rFonts w:ascii="Times New Roman"/>
          <w:b w:val="false"/>
          <w:i w:val="false"/>
          <w:color w:val="000000"/>
          <w:sz w:val="28"/>
        </w:rPr>
        <w:t>
      1) в организационной структуре отдельного (отдельных) подразделения (подразделений) для осуществления функций в рамках клиринговой деятельности по сделкам с финансовыми инструментами;</w:t>
      </w:r>
    </w:p>
    <w:bookmarkEnd w:id="22"/>
    <w:bookmarkStart w:name="z25" w:id="23"/>
    <w:p>
      <w:pPr>
        <w:spacing w:after="0"/>
        <w:ind w:left="0"/>
        <w:jc w:val="both"/>
      </w:pPr>
      <w:r>
        <w:rPr>
          <w:rFonts w:ascii="Times New Roman"/>
          <w:b w:val="false"/>
          <w:i w:val="false"/>
          <w:color w:val="000000"/>
          <w:sz w:val="28"/>
        </w:rPr>
        <w:t>
      2) у подразделения (подразделений), осуществляющего (осуществляющих) клиринговую деятельность по сделкам с финансовыми инструментами, отдельных помещений, а также систем сбора, регистрации и учета информации для осуществления клиринговой деятельности по сделкам с финансовыми инструментами, отдельных от систем, используемых подразделениями для осуществления других функций и видов профессиональной деятельности на рынке ценных бумаг.</w:t>
      </w:r>
    </w:p>
    <w:bookmarkEnd w:id="23"/>
    <w:p>
      <w:pPr>
        <w:spacing w:after="0"/>
        <w:ind w:left="0"/>
        <w:jc w:val="both"/>
      </w:pPr>
      <w:r>
        <w:rPr>
          <w:rFonts w:ascii="Times New Roman"/>
          <w:b w:val="false"/>
          <w:i w:val="false"/>
          <w:color w:val="000000"/>
          <w:sz w:val="28"/>
        </w:rPr>
        <w:t>
      На подразделение (подразделения), осуществляющее (осуществляющие) клиринговую деятельность по сделкам с финансовыми инструментами, и работников данного подразделения не возлагаются функции подразделений организатора торгов или центрального депозитария, осуществляющих другие виды профессиональной деятельности на рынке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27.05.2014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4. При совмещении организатором торгов деятельности по организации торговли ценными бумагами и иными финансовыми инструментами с клиринговой деятельностью, допускается совмещение функций подразделениями, указанными в подпунктах 2), 3), 4), 5) и 6) пункта 2 Правил, с подразделениями организатора торгов, осуществляющими аналогичные функции.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04.07.2012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2. Клиринговые участники торгов</w:t>
      </w:r>
    </w:p>
    <w:bookmarkEnd w:id="25"/>
    <w:bookmarkStart w:name="z29" w:id="26"/>
    <w:p>
      <w:pPr>
        <w:spacing w:after="0"/>
        <w:ind w:left="0"/>
        <w:jc w:val="both"/>
      </w:pPr>
      <w:r>
        <w:rPr>
          <w:rFonts w:ascii="Times New Roman"/>
          <w:b w:val="false"/>
          <w:i w:val="false"/>
          <w:color w:val="000000"/>
          <w:sz w:val="28"/>
        </w:rPr>
        <w:t>
      5. Для получения статуса клирингового участника торгов заявитель представляет заявление, составленное по форме, предусмотренной правилами клиринговой организации, и финансовую отчетность, составленную в соответствии с международными стандартами финансовой отчетности, в порядке и сроки, предусмотренные правилами клиринговой организации, для осуществления клиринговой организацией мониторинга финансовой устойчивости клирингового участника торгов, а также соответствует следующим требованиям:</w:t>
      </w:r>
    </w:p>
    <w:bookmarkEnd w:id="26"/>
    <w:bookmarkStart w:name="z30" w:id="27"/>
    <w:p>
      <w:pPr>
        <w:spacing w:after="0"/>
        <w:ind w:left="0"/>
        <w:jc w:val="both"/>
      </w:pPr>
      <w:r>
        <w:rPr>
          <w:rFonts w:ascii="Times New Roman"/>
          <w:b w:val="false"/>
          <w:i w:val="false"/>
          <w:color w:val="000000"/>
          <w:sz w:val="28"/>
        </w:rPr>
        <w:t>
      1) соблюдает пруденциальные нормативы по достаточности собственного капитала на дату получения статуса клирингового участника торгов и в течение трех месяцев, предшествующих такой дате (для финансовой организации – резидента Республики Казахстан);</w:t>
      </w:r>
    </w:p>
    <w:bookmarkEnd w:id="27"/>
    <w:bookmarkStart w:name="z31" w:id="28"/>
    <w:p>
      <w:pPr>
        <w:spacing w:after="0"/>
        <w:ind w:left="0"/>
        <w:jc w:val="both"/>
      </w:pPr>
      <w:r>
        <w:rPr>
          <w:rFonts w:ascii="Times New Roman"/>
          <w:b w:val="false"/>
          <w:i w:val="false"/>
          <w:color w:val="000000"/>
          <w:sz w:val="28"/>
        </w:rPr>
        <w:t>
      2) соблюдает требования по достаточности собственного капитала, установленные правилами клиринговой организации (для юридического лица, не являющегося финансовой организацией – резидентом Республики Казахстан);</w:t>
      </w:r>
    </w:p>
    <w:bookmarkEnd w:id="28"/>
    <w:bookmarkStart w:name="z32" w:id="29"/>
    <w:p>
      <w:pPr>
        <w:spacing w:after="0"/>
        <w:ind w:left="0"/>
        <w:jc w:val="both"/>
      </w:pPr>
      <w:r>
        <w:rPr>
          <w:rFonts w:ascii="Times New Roman"/>
          <w:b w:val="false"/>
          <w:i w:val="false"/>
          <w:color w:val="000000"/>
          <w:sz w:val="28"/>
        </w:rPr>
        <w:t>
      3) участвует в формировании специальных клиринговых (гарантийных) фондов по категориям рынков финансовых инструментов, к которым осуществляется допуск данного клирингового участника торгов и на которых клиринговая организация исполняет функции центрального контрагента;</w:t>
      </w:r>
    </w:p>
    <w:bookmarkEnd w:id="29"/>
    <w:bookmarkStart w:name="z33" w:id="30"/>
    <w:p>
      <w:pPr>
        <w:spacing w:after="0"/>
        <w:ind w:left="0"/>
        <w:jc w:val="both"/>
      </w:pPr>
      <w:r>
        <w:rPr>
          <w:rFonts w:ascii="Times New Roman"/>
          <w:b w:val="false"/>
          <w:i w:val="false"/>
          <w:color w:val="000000"/>
          <w:sz w:val="28"/>
        </w:rPr>
        <w:t>
      4) открывает счета для учета финансовых инструментов в соответствии с требованиями внутренних документов клиринговой организации.</w:t>
      </w:r>
    </w:p>
    <w:bookmarkEnd w:id="30"/>
    <w:p>
      <w:pPr>
        <w:spacing w:after="0"/>
        <w:ind w:left="0"/>
        <w:jc w:val="both"/>
      </w:pPr>
      <w:r>
        <w:rPr>
          <w:rFonts w:ascii="Times New Roman"/>
          <w:b w:val="false"/>
          <w:i w:val="false"/>
          <w:color w:val="000000"/>
          <w:sz w:val="28"/>
        </w:rPr>
        <w:t>
      Требования, предусмотренные подпунктами 1), 2) и 3) настоящего пункта, не распространяются на юридическое лицо, сделки (заявки) которого, заключаемые (объявляемые) на фондовой и (или) товарной бирже, заключаются (объявляются) с полным предварительным обеспечением.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04.07.2012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6. Клиринговые участники торгов:</w:t>
      </w:r>
    </w:p>
    <w:bookmarkEnd w:id="31"/>
    <w:bookmarkStart w:name="z36" w:id="32"/>
    <w:p>
      <w:pPr>
        <w:spacing w:after="0"/>
        <w:ind w:left="0"/>
        <w:jc w:val="both"/>
      </w:pPr>
      <w:r>
        <w:rPr>
          <w:rFonts w:ascii="Times New Roman"/>
          <w:b w:val="false"/>
          <w:i w:val="false"/>
          <w:color w:val="000000"/>
          <w:sz w:val="28"/>
        </w:rPr>
        <w:t>
      1) предоставляют клиринговой организации информацию о своей деятельности, необходимую для осуществления мониторинга финансового состояния клиринговых участников торгов, а также соответствия клиринговых участников торгов требованиям правил клиринговой организации, в объеме, порядке и сроки, предусмотренные правилами клиринговой организации;</w:t>
      </w:r>
    </w:p>
    <w:bookmarkEnd w:id="32"/>
    <w:bookmarkStart w:name="z37" w:id="33"/>
    <w:p>
      <w:pPr>
        <w:spacing w:after="0"/>
        <w:ind w:left="0"/>
        <w:jc w:val="both"/>
      </w:pPr>
      <w:r>
        <w:rPr>
          <w:rFonts w:ascii="Times New Roman"/>
          <w:b w:val="false"/>
          <w:i w:val="false"/>
          <w:color w:val="000000"/>
          <w:sz w:val="28"/>
        </w:rPr>
        <w:t>
      2) уплачивают взносы и сборы клиринговой организации в порядке, предусмотренном правилами клиринговой организации.</w:t>
      </w:r>
    </w:p>
    <w:bookmarkEnd w:id="33"/>
    <w:bookmarkStart w:name="z38" w:id="34"/>
    <w:p>
      <w:pPr>
        <w:spacing w:after="0"/>
        <w:ind w:left="0"/>
        <w:jc w:val="both"/>
      </w:pPr>
      <w:r>
        <w:rPr>
          <w:rFonts w:ascii="Times New Roman"/>
          <w:b w:val="false"/>
          <w:i w:val="false"/>
          <w:color w:val="000000"/>
          <w:sz w:val="28"/>
        </w:rPr>
        <w:t>
      7. Клиринговый участник торгов уведомляет клиринговую организацию о наложении судами, органами дознания и следствия или органами исполнительного производства по находящимся в их производстве уголовным и гражданским делам и делам исполнительного производства ареста на имущество, принадлежащее клиринговому участнику торгов и (или) его клиентам, не позднее дня, следующего за днем наступления таких событий.</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28.01.2016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8. Основанием для приостановления действия или лишения статуса клирингового участника торгов являются:</w:t>
      </w:r>
    </w:p>
    <w:bookmarkEnd w:id="35"/>
    <w:p>
      <w:pPr>
        <w:spacing w:after="0"/>
        <w:ind w:left="0"/>
        <w:jc w:val="both"/>
      </w:pPr>
      <w:r>
        <w:rPr>
          <w:rFonts w:ascii="Times New Roman"/>
          <w:b w:val="false"/>
          <w:i w:val="false"/>
          <w:color w:val="000000"/>
          <w:sz w:val="28"/>
        </w:rPr>
        <w:t>
      1) приостановление или прекращение действия лицензии, выданной клиринговому участнику торгов уполномоченным органом или уполномоченным органом в области регулирования торговой деятельности;</w:t>
      </w:r>
    </w:p>
    <w:p>
      <w:pPr>
        <w:spacing w:after="0"/>
        <w:ind w:left="0"/>
        <w:jc w:val="both"/>
      </w:pPr>
      <w:r>
        <w:rPr>
          <w:rFonts w:ascii="Times New Roman"/>
          <w:b w:val="false"/>
          <w:i w:val="false"/>
          <w:color w:val="000000"/>
          <w:sz w:val="28"/>
        </w:rPr>
        <w:t>
      2) приостановление или прекращение членства на фондовой и (или) товарной бирже;</w:t>
      </w:r>
    </w:p>
    <w:p>
      <w:pPr>
        <w:spacing w:after="0"/>
        <w:ind w:left="0"/>
        <w:jc w:val="both"/>
      </w:pPr>
      <w:r>
        <w:rPr>
          <w:rFonts w:ascii="Times New Roman"/>
          <w:b w:val="false"/>
          <w:i w:val="false"/>
          <w:color w:val="000000"/>
          <w:sz w:val="28"/>
        </w:rPr>
        <w:t>
      3) временное или постоянное отключение лица, подключенного к системе подтверждения фондовой биржи, от данной системы подтверждения;</w:t>
      </w:r>
    </w:p>
    <w:p>
      <w:pPr>
        <w:spacing w:after="0"/>
        <w:ind w:left="0"/>
        <w:jc w:val="both"/>
      </w:pPr>
      <w:r>
        <w:rPr>
          <w:rFonts w:ascii="Times New Roman"/>
          <w:b w:val="false"/>
          <w:i w:val="false"/>
          <w:color w:val="000000"/>
          <w:sz w:val="28"/>
        </w:rPr>
        <w:t>
      4) основания, установленные правилами клиринговой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04.07.2012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9. Клиринговая организация уведомляет уполномоченный орган обо всех случаях получения, отказа в получении, приостановления, возобновления и прекращения действия статуса клирингового участника торгов не позднее следующего рабочего дня после наступления такого случая.</w:t>
      </w:r>
    </w:p>
    <w:bookmarkEnd w:id="36"/>
    <w:bookmarkStart w:name="z44" w:id="37"/>
    <w:p>
      <w:pPr>
        <w:spacing w:after="0"/>
        <w:ind w:left="0"/>
        <w:jc w:val="both"/>
      </w:pPr>
      <w:r>
        <w:rPr>
          <w:rFonts w:ascii="Times New Roman"/>
          <w:b w:val="false"/>
          <w:i w:val="false"/>
          <w:color w:val="000000"/>
          <w:sz w:val="28"/>
        </w:rPr>
        <w:t>
      10. Уполномоченный орган уведомляет клиринговую организацию о приостановлении или прекращении действия лицензии клирингового участника торгов в день направления соответствующего уведомления в адрес данного клирингового участника торгов.</w:t>
      </w:r>
    </w:p>
    <w:bookmarkEnd w:id="37"/>
    <w:p>
      <w:pPr>
        <w:spacing w:after="0"/>
        <w:ind w:left="0"/>
        <w:jc w:val="both"/>
      </w:pPr>
      <w:r>
        <w:rPr>
          <w:rFonts w:ascii="Times New Roman"/>
          <w:b w:val="false"/>
          <w:i w:val="false"/>
          <w:color w:val="000000"/>
          <w:sz w:val="28"/>
        </w:rPr>
        <w:t>
      Клиринговая организация не обслуживает клирингового участника торгов, действие лицензии которого было приостановлено или прекращено, с даты получения указанного уведомления, за исключением клиринговой деятельности, связанной с исполнением обязательств (завершением расчетов) по ранее заключенным сделкам (ранее определенным (чистым) позициям) данного клирингового участника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04.07.2012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8"/>
    <w:p>
      <w:pPr>
        <w:spacing w:after="0"/>
        <w:ind w:left="0"/>
        <w:jc w:val="both"/>
      </w:pPr>
      <w:r>
        <w:rPr>
          <w:rFonts w:ascii="Times New Roman"/>
          <w:b w:val="false"/>
          <w:i w:val="false"/>
          <w:color w:val="000000"/>
          <w:sz w:val="28"/>
        </w:rPr>
        <w:t>
       10-1. Обязательства клиента (клирингового участника торгов) клиринговой организации прекращаются на дату, определенную в соответствии с правилами клиринговой организации.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постановлением Правления Национального Банка РК от 28.01.2016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10-2. Клиринговая организация прекращает клиринговое обслуживание клиента (клирингового участника торгов) клиринговой организации в день получения письменного уведомления уполномоченного органа о лишении лицензии клиента (клирингового участника торгов) - финансовой организации.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постановлением Правления Национального Банка РК от 28.01.2016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10-3. Все обязательства клиента (клирингового участника торгов) клиринговой организации по сделкам, заключенным до даты получения уведомления уполномоченного органа о лишении лицензии клирингового участника торгов - финансовой организации, подлежат исполнению в течение расчетного периода на условиях и в порядке, установленных правилами клиринговой организации.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 в соответствии с постановлением Правления Национального Банка РК от 28.01.2016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10-4. Обязательства по сделкам прекращаются возникновением нетто-обязательств (нетто-требований) клирингового участника торгов в отношении других клиринговых участников торгов - его контрагентов по сделкам. Размер указанных нетто-обязательств (нетто-требований) рассчитывается в соответствии с правилами клиринговой организации, и соответствующее уведомление о рассчитанной сумме направляется клиринговому участнику торгов в форме электронного документа.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 в соответствии с постановлением Правления Национального Банка РК от 28.01.2016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42"/>
    <w:p>
      <w:pPr>
        <w:spacing w:after="0"/>
        <w:ind w:left="0"/>
        <w:jc w:val="both"/>
      </w:pPr>
      <w:r>
        <w:rPr>
          <w:rFonts w:ascii="Times New Roman"/>
          <w:b w:val="false"/>
          <w:i w:val="false"/>
          <w:color w:val="000000"/>
          <w:sz w:val="28"/>
        </w:rPr>
        <w:t>
       10-5. Клиринговая организация направляет клиринговому участнику торгов, лишенному лицензии, а также его контрагентам уведомление о прекращении обязательств по сделкам не позднее рабочего дня, следующего за датой прекращения обязательств по этим сделкам.</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10-5 в соответствии с постановлением Правления Национального Банка РК от 28.01.2016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43"/>
    <w:p>
      <w:pPr>
        <w:spacing w:after="0"/>
        <w:ind w:left="0"/>
        <w:jc w:val="both"/>
      </w:pPr>
      <w:r>
        <w:rPr>
          <w:rFonts w:ascii="Times New Roman"/>
          <w:b w:val="false"/>
          <w:i w:val="false"/>
          <w:color w:val="000000"/>
          <w:sz w:val="28"/>
        </w:rPr>
        <w:t>
       10-6. Возврат денег клиринговому участнику торгов осуществляется клиринговой организацией в течение 3 (трех) рабочих дней после получения клиринговой организацией письма о возврате денег от клирингового участника торгов, содержащего платежные реквизиты.</w:t>
      </w:r>
    </w:p>
    <w:bookmarkEnd w:id="43"/>
    <w:p>
      <w:pPr>
        <w:spacing w:after="0"/>
        <w:ind w:left="0"/>
        <w:jc w:val="both"/>
      </w:pPr>
      <w:r>
        <w:rPr>
          <w:rFonts w:ascii="Times New Roman"/>
          <w:b w:val="false"/>
          <w:i w:val="false"/>
          <w:color w:val="000000"/>
          <w:sz w:val="28"/>
        </w:rPr>
        <w:t>
      Возврат денег клиринговому участнику торгов осуществляется клиринговой организацией в сумме нетто-требования клирингового участника торгов, рассчитанного соответственно в порядке, предусмотренном правилами клиринговой организации.</w:t>
      </w:r>
    </w:p>
    <w:p>
      <w:pPr>
        <w:spacing w:after="0"/>
        <w:ind w:left="0"/>
        <w:jc w:val="both"/>
      </w:pPr>
      <w:r>
        <w:rPr>
          <w:rFonts w:ascii="Times New Roman"/>
          <w:b w:val="false"/>
          <w:i w:val="false"/>
          <w:color w:val="000000"/>
          <w:sz w:val="28"/>
        </w:rPr>
        <w:t>
      Порядок осуществления возврата денег клиринговой организацией клиринговому участнику торгов в иных случаях устанавливается правилами клиринговой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10-6 в соответствии с постановлением Правления Национального Банка РК от 28.01.2016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4"/>
    <w:p>
      <w:pPr>
        <w:spacing w:after="0"/>
        <w:ind w:left="0"/>
        <w:jc w:val="left"/>
      </w:pPr>
      <w:r>
        <w:rPr>
          <w:rFonts w:ascii="Times New Roman"/>
          <w:b/>
          <w:i w:val="false"/>
          <w:color w:val="000000"/>
        </w:rPr>
        <w:t xml:space="preserve"> 3. Осуществление клиринга</w:t>
      </w:r>
    </w:p>
    <w:bookmarkEnd w:id="44"/>
    <w:bookmarkStart w:name="z46" w:id="45"/>
    <w:p>
      <w:pPr>
        <w:spacing w:after="0"/>
        <w:ind w:left="0"/>
        <w:jc w:val="both"/>
      </w:pPr>
      <w:r>
        <w:rPr>
          <w:rFonts w:ascii="Times New Roman"/>
          <w:b w:val="false"/>
          <w:i w:val="false"/>
          <w:color w:val="000000"/>
          <w:sz w:val="28"/>
        </w:rPr>
        <w:t>
      11. Клиринговая организация осуществляет сбор, обработку и хранение информации по сделкам, по которым данная клиринговая организация осуществляет клиринговое обслуживание, ее сверку, корректировку при наличии расхождений, изменение (реквизитов) сторон сделки или совершение иных действий при урегулировании дефолта по сделке на условиях и в порядке, определенных Правилами и правилами клиринговой организации.</w:t>
      </w:r>
    </w:p>
    <w:bookmarkEnd w:id="45"/>
    <w:p>
      <w:pPr>
        <w:spacing w:after="0"/>
        <w:ind w:left="0"/>
        <w:jc w:val="both"/>
      </w:pPr>
      <w:r>
        <w:rPr>
          <w:rFonts w:ascii="Times New Roman"/>
          <w:b w:val="false"/>
          <w:i w:val="false"/>
          <w:color w:val="000000"/>
          <w:sz w:val="28"/>
        </w:rPr>
        <w:t>
      Для осуществления клиринговой деятельности по сделкам с финансовыми инструментами, клиринговая организация заключает договор с расчетной организацией, организатором торгов и (или) товарной биржей, условия которого предусматривают порядок обмена информацией между сторонами договора и совершение согласованных процедур в процессе реализации сторонами договора своих прав и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Национального банка РК от 04.07.2012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46"/>
    <w:p>
      <w:pPr>
        <w:spacing w:after="0"/>
        <w:ind w:left="0"/>
        <w:jc w:val="both"/>
      </w:pPr>
      <w:r>
        <w:rPr>
          <w:rFonts w:ascii="Times New Roman"/>
          <w:b w:val="false"/>
          <w:i w:val="false"/>
          <w:color w:val="000000"/>
          <w:sz w:val="28"/>
        </w:rPr>
        <w:t>
       11-1. Клиринговая организация осуществляет процедуры по урегулированию дефолта клирингового участника торгов путем подачи заявок и заключения сделок с финансовыми инструментами в торговой системе фондовой и (или) товарной биржи от имени данного клирингового участника торгов (с целью принудительной ликвидации его открытых позиций) и (или) совершения иных действий в порядке и на условиях, определенных правилами клиринговой организации.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постановлением Правления Национального банка РК от 04.07.2012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12. Клиринговая организация осуществляет хранение информации и документов, связанных с клиринговой деятельностью, и ежедневное резервное копирование такой информации.</w:t>
      </w:r>
    </w:p>
    <w:bookmarkEnd w:id="47"/>
    <w:p>
      <w:pPr>
        <w:spacing w:after="0"/>
        <w:ind w:left="0"/>
        <w:jc w:val="both"/>
      </w:pPr>
      <w:r>
        <w:rPr>
          <w:rFonts w:ascii="Times New Roman"/>
          <w:b w:val="false"/>
          <w:i w:val="false"/>
          <w:color w:val="000000"/>
          <w:sz w:val="28"/>
        </w:rPr>
        <w:t>
      Резервные копии подлежат защите от несанкционированного доступа к информации и хранятся в резервном техническом центре клиринговой организации до их замены обновленными резервными копиями.</w:t>
      </w:r>
    </w:p>
    <w:bookmarkStart w:name="z48" w:id="48"/>
    <w:p>
      <w:pPr>
        <w:spacing w:after="0"/>
        <w:ind w:left="0"/>
        <w:jc w:val="both"/>
      </w:pPr>
      <w:r>
        <w:rPr>
          <w:rFonts w:ascii="Times New Roman"/>
          <w:b w:val="false"/>
          <w:i w:val="false"/>
          <w:color w:val="000000"/>
          <w:sz w:val="28"/>
        </w:rPr>
        <w:t>
      13. Клиринговая организация обеспечивает постоянную готовность резервного технического центра к немедленной активизации. Резервный технический центр соответствует следующим требованиям:</w:t>
      </w:r>
    </w:p>
    <w:bookmarkEnd w:id="48"/>
    <w:bookmarkStart w:name="z49" w:id="49"/>
    <w:p>
      <w:pPr>
        <w:spacing w:after="0"/>
        <w:ind w:left="0"/>
        <w:jc w:val="both"/>
      </w:pPr>
      <w:r>
        <w:rPr>
          <w:rFonts w:ascii="Times New Roman"/>
          <w:b w:val="false"/>
          <w:i w:val="false"/>
          <w:color w:val="000000"/>
          <w:sz w:val="28"/>
        </w:rPr>
        <w:t>
      1) содержит резервные копии информации, связанной с клиринговой деятельностью, идентичные основной информации;</w:t>
      </w:r>
    </w:p>
    <w:bookmarkEnd w:id="49"/>
    <w:bookmarkStart w:name="z50" w:id="50"/>
    <w:p>
      <w:pPr>
        <w:spacing w:after="0"/>
        <w:ind w:left="0"/>
        <w:jc w:val="both"/>
      </w:pPr>
      <w:r>
        <w:rPr>
          <w:rFonts w:ascii="Times New Roman"/>
          <w:b w:val="false"/>
          <w:i w:val="false"/>
          <w:color w:val="000000"/>
          <w:sz w:val="28"/>
        </w:rPr>
        <w:t>
      2) содержит копию программно-технического обеспечения клиринговой организации, используемого в процессе осуществления клиринговой деятельности по сделкам с финансовыми инструментами;</w:t>
      </w:r>
    </w:p>
    <w:bookmarkEnd w:id="50"/>
    <w:bookmarkStart w:name="z51" w:id="51"/>
    <w:p>
      <w:pPr>
        <w:spacing w:after="0"/>
        <w:ind w:left="0"/>
        <w:jc w:val="both"/>
      </w:pPr>
      <w:r>
        <w:rPr>
          <w:rFonts w:ascii="Times New Roman"/>
          <w:b w:val="false"/>
          <w:i w:val="false"/>
          <w:color w:val="000000"/>
          <w:sz w:val="28"/>
        </w:rPr>
        <w:t>
      3) располагается не менее чем в двадцати пяти километрах от места нахождения клиринговой организации;</w:t>
      </w:r>
    </w:p>
    <w:bookmarkEnd w:id="51"/>
    <w:bookmarkStart w:name="z52" w:id="52"/>
    <w:p>
      <w:pPr>
        <w:spacing w:after="0"/>
        <w:ind w:left="0"/>
        <w:jc w:val="both"/>
      </w:pPr>
      <w:r>
        <w:rPr>
          <w:rFonts w:ascii="Times New Roman"/>
          <w:b w:val="false"/>
          <w:i w:val="false"/>
          <w:color w:val="000000"/>
          <w:sz w:val="28"/>
        </w:rPr>
        <w:t>
      4) обеспечивается коммуникациями, необходимыми для осуществления деятельности клиринговой организации;</w:t>
      </w:r>
    </w:p>
    <w:bookmarkEnd w:id="52"/>
    <w:bookmarkStart w:name="z53" w:id="53"/>
    <w:p>
      <w:pPr>
        <w:spacing w:after="0"/>
        <w:ind w:left="0"/>
        <w:jc w:val="both"/>
      </w:pPr>
      <w:r>
        <w:rPr>
          <w:rFonts w:ascii="Times New Roman"/>
          <w:b w:val="false"/>
          <w:i w:val="false"/>
          <w:color w:val="000000"/>
          <w:sz w:val="28"/>
        </w:rPr>
        <w:t>
      5) при невозможности осуществления клиринга по месту нахождения клиринговой организации представляет возможность осуществления клиринга не позднее, чем на следующий рабочий день после возникновения данной ситуации.</w:t>
      </w:r>
    </w:p>
    <w:bookmarkEnd w:id="53"/>
    <w:bookmarkStart w:name="z54" w:id="54"/>
    <w:p>
      <w:pPr>
        <w:spacing w:after="0"/>
        <w:ind w:left="0"/>
        <w:jc w:val="both"/>
      </w:pPr>
      <w:r>
        <w:rPr>
          <w:rFonts w:ascii="Times New Roman"/>
          <w:b w:val="false"/>
          <w:i w:val="false"/>
          <w:color w:val="000000"/>
          <w:sz w:val="28"/>
        </w:rPr>
        <w:t>
      14. Допускается использование клиринговой организацией резервного центра центрального депозитария или фондовой биржи.</w:t>
      </w:r>
    </w:p>
    <w:bookmarkEnd w:id="54"/>
    <w:bookmarkStart w:name="z55" w:id="55"/>
    <w:p>
      <w:pPr>
        <w:spacing w:after="0"/>
        <w:ind w:left="0"/>
        <w:jc w:val="both"/>
      </w:pPr>
      <w:r>
        <w:rPr>
          <w:rFonts w:ascii="Times New Roman"/>
          <w:b w:val="false"/>
          <w:i w:val="false"/>
          <w:color w:val="000000"/>
          <w:sz w:val="28"/>
        </w:rPr>
        <w:t>
      15. В целях осуществления клиринга между клиринговыми участниками торгов в результате заключения сделок с финансовыми инструментами, клиринговая организация обеспечивает достоверный учет параметров заключенных сделок в торговой системе организатора торгов и (или) на товарной бирже.</w:t>
      </w:r>
    </w:p>
    <w:bookmarkEnd w:id="55"/>
    <w:bookmarkStart w:name="z56" w:id="56"/>
    <w:p>
      <w:pPr>
        <w:spacing w:after="0"/>
        <w:ind w:left="0"/>
        <w:jc w:val="both"/>
      </w:pPr>
      <w:r>
        <w:rPr>
          <w:rFonts w:ascii="Times New Roman"/>
          <w:b w:val="false"/>
          <w:i w:val="false"/>
          <w:color w:val="000000"/>
          <w:sz w:val="28"/>
        </w:rPr>
        <w:t>
      16. Расчетной организацией по сделкам с ценными бумагами является центральный депозитарий.</w:t>
      </w:r>
    </w:p>
    <w:bookmarkEnd w:id="56"/>
    <w:bookmarkStart w:name="z34" w:id="57"/>
    <w:p>
      <w:pPr>
        <w:spacing w:after="0"/>
        <w:ind w:left="0"/>
        <w:jc w:val="both"/>
      </w:pPr>
      <w:r>
        <w:rPr>
          <w:rFonts w:ascii="Times New Roman"/>
          <w:b w:val="false"/>
          <w:i w:val="false"/>
          <w:color w:val="000000"/>
          <w:sz w:val="28"/>
        </w:rPr>
        <w:t>
      16-1. Порядок и условия осуществления расчетов по заключенным на биржевых торгах сделкам с производными финансовыми инструментами и (или) валютой, определяются правилами фондовой биржи.</w:t>
      </w:r>
    </w:p>
    <w:bookmarkEnd w:id="57"/>
    <w:p>
      <w:pPr>
        <w:spacing w:after="0"/>
        <w:ind w:left="0"/>
        <w:jc w:val="both"/>
      </w:pPr>
      <w:r>
        <w:rPr>
          <w:rFonts w:ascii="Times New Roman"/>
          <w:b w:val="false"/>
          <w:i w:val="false"/>
          <w:color w:val="000000"/>
          <w:sz w:val="28"/>
        </w:rPr>
        <w:t>
      Клиринговая организация для организации расчетов (платежей) по сделкам с производными финансовыми инструментами и (или) валютой открывает счета для учета финансовых инструментов в соответствии с требованиями внутренних документов клиринговой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постановлением Правления Национального банка РК от 04.07.2012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8"/>
    <w:p>
      <w:pPr>
        <w:spacing w:after="0"/>
        <w:ind w:left="0"/>
        <w:jc w:val="both"/>
      </w:pPr>
      <w:r>
        <w:rPr>
          <w:rFonts w:ascii="Times New Roman"/>
          <w:b w:val="false"/>
          <w:i w:val="false"/>
          <w:color w:val="000000"/>
          <w:sz w:val="28"/>
        </w:rPr>
        <w:t>
       17. Требования и (или) обязательства клиринговых участников торгов рассчитываются клиринговой организацией и передаются в расчетную организацию путем передачи приказа на проведение расчетов (платежей) одним из следующих способов:</w:t>
      </w:r>
    </w:p>
    <w:bookmarkEnd w:id="58"/>
    <w:bookmarkStart w:name="z58" w:id="59"/>
    <w:p>
      <w:pPr>
        <w:spacing w:after="0"/>
        <w:ind w:left="0"/>
        <w:jc w:val="both"/>
      </w:pPr>
      <w:r>
        <w:rPr>
          <w:rFonts w:ascii="Times New Roman"/>
          <w:b w:val="false"/>
          <w:i w:val="false"/>
          <w:color w:val="000000"/>
          <w:sz w:val="28"/>
        </w:rPr>
        <w:t>
      1) в режиме реального времени, на основании каждой отдельной сделки без проведения взаимозачета требований и обязательств по другим сделкам клиринговых участников торгов в порядке очередности их регистрации в торговой системе организатора торгов или на товарной бирже;</w:t>
      </w:r>
    </w:p>
    <w:bookmarkEnd w:id="59"/>
    <w:bookmarkStart w:name="z59" w:id="60"/>
    <w:p>
      <w:pPr>
        <w:spacing w:after="0"/>
        <w:ind w:left="0"/>
        <w:jc w:val="both"/>
      </w:pPr>
      <w:r>
        <w:rPr>
          <w:rFonts w:ascii="Times New Roman"/>
          <w:b w:val="false"/>
          <w:i w:val="false"/>
          <w:color w:val="000000"/>
          <w:sz w:val="28"/>
        </w:rPr>
        <w:t>
      2) по итогам торговой сессии, по окончании которой осуществляется взаимозачет требований и обязательств клиринговых участников торгов и определяются их чистые позиции после проведения клиринговой сессии.</w:t>
      </w:r>
    </w:p>
    <w:bookmarkEnd w:id="60"/>
    <w:bookmarkStart w:name="z60" w:id="61"/>
    <w:p>
      <w:pPr>
        <w:spacing w:after="0"/>
        <w:ind w:left="0"/>
        <w:jc w:val="both"/>
      </w:pPr>
      <w:r>
        <w:rPr>
          <w:rFonts w:ascii="Times New Roman"/>
          <w:b w:val="false"/>
          <w:i w:val="false"/>
          <w:color w:val="000000"/>
          <w:sz w:val="28"/>
        </w:rPr>
        <w:t>
      18. Действие пункта 17 Правил не распространяется на сделки с ценными бумагами, заключенные в торговой системе организатора торгов, расчет по которым осуществляется в день их заключения по принципу "поставка против платежа".</w:t>
      </w:r>
    </w:p>
    <w:bookmarkEnd w:id="61"/>
    <w:p>
      <w:pPr>
        <w:spacing w:after="0"/>
        <w:ind w:left="0"/>
        <w:jc w:val="both"/>
      </w:pPr>
      <w:r>
        <w:rPr>
          <w:rFonts w:ascii="Times New Roman"/>
          <w:b w:val="false"/>
          <w:i w:val="false"/>
          <w:color w:val="000000"/>
          <w:sz w:val="28"/>
        </w:rPr>
        <w:t>
      Передача приказа в расчетную организацию на проведение расчетов (платежей) по сделкам с ценными бумагами, указанным в части первой настоящего пункта, осуществляется согласно внутренним документам организатора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Правления Национального банка РК от 04.07.2012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62"/>
    <w:p>
      <w:pPr>
        <w:spacing w:after="0"/>
        <w:ind w:left="0"/>
        <w:jc w:val="both"/>
      </w:pPr>
      <w:r>
        <w:rPr>
          <w:rFonts w:ascii="Times New Roman"/>
          <w:b w:val="false"/>
          <w:i w:val="false"/>
          <w:color w:val="000000"/>
          <w:sz w:val="28"/>
        </w:rPr>
        <w:t>
       19. Клиринговая организация формирует отчет по результатам клиринговой деятельности для клиринговых участников торгов в порядке и сроки, определенные правилами клиринговой организации.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Правления Национального Банка РК от 27.05.2014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63"/>
    <w:p>
      <w:pPr>
        <w:spacing w:after="0"/>
        <w:ind w:left="0"/>
        <w:jc w:val="both"/>
      </w:pPr>
      <w:r>
        <w:rPr>
          <w:rFonts w:ascii="Times New Roman"/>
          <w:b w:val="false"/>
          <w:i w:val="false"/>
          <w:color w:val="000000"/>
          <w:sz w:val="28"/>
        </w:rPr>
        <w:t>
       20. Расчетная организация на основании полученных приказов осуществляет расчеты (платежи) и уведомляет об этом клиринговую организацию.</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Правления Национального Банка РК от 27.05.2014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64"/>
    <w:p>
      <w:pPr>
        <w:spacing w:after="0"/>
        <w:ind w:left="0"/>
        <w:jc w:val="left"/>
      </w:pPr>
      <w:r>
        <w:rPr>
          <w:rFonts w:ascii="Times New Roman"/>
          <w:b/>
          <w:i w:val="false"/>
          <w:color w:val="000000"/>
        </w:rPr>
        <w:t xml:space="preserve"> 4. Раскрытие информации о деятельности клиринговой организации</w:t>
      </w:r>
    </w:p>
    <w:bookmarkEnd w:id="64"/>
    <w:bookmarkStart w:name="z64" w:id="65"/>
    <w:p>
      <w:pPr>
        <w:spacing w:after="0"/>
        <w:ind w:left="0"/>
        <w:jc w:val="both"/>
      </w:pPr>
      <w:r>
        <w:rPr>
          <w:rFonts w:ascii="Times New Roman"/>
          <w:b w:val="false"/>
          <w:i w:val="false"/>
          <w:color w:val="000000"/>
          <w:sz w:val="28"/>
        </w:rPr>
        <w:t>
      21. Клиринговая организация обеспечивает раскрытие информации о своей деятельности и свободный доступ к ознакомлению с информацией, не составляющей коммерческую тайну на рынке ценных бумаг, всем заинтересованным лицам путем публикации (размещения) на постоянной основе указанной информации в средствах массовой информации на государственном и русском языках.</w:t>
      </w:r>
    </w:p>
    <w:bookmarkEnd w:id="65"/>
    <w:bookmarkStart w:name="z65" w:id="66"/>
    <w:p>
      <w:pPr>
        <w:spacing w:after="0"/>
        <w:ind w:left="0"/>
        <w:jc w:val="both"/>
      </w:pPr>
      <w:r>
        <w:rPr>
          <w:rFonts w:ascii="Times New Roman"/>
          <w:b w:val="false"/>
          <w:i w:val="false"/>
          <w:color w:val="000000"/>
          <w:sz w:val="28"/>
        </w:rPr>
        <w:t>
      22. На интернет-ресурсе клиринговой организации обеспечивается раскрытие следующей информации:</w:t>
      </w:r>
    </w:p>
    <w:bookmarkEnd w:id="66"/>
    <w:bookmarkStart w:name="z66" w:id="67"/>
    <w:p>
      <w:pPr>
        <w:spacing w:after="0"/>
        <w:ind w:left="0"/>
        <w:jc w:val="both"/>
      </w:pPr>
      <w:r>
        <w:rPr>
          <w:rFonts w:ascii="Times New Roman"/>
          <w:b w:val="false"/>
          <w:i w:val="false"/>
          <w:color w:val="000000"/>
          <w:sz w:val="28"/>
        </w:rPr>
        <w:t>
      1) общей информации о клиринговой организации (состав органов клиринговой организации, фамилии, имена, при наличии отчества руководящих работников клиринговой организации, место нахождения клиринговой организации, контактные телефоны);</w:t>
      </w:r>
    </w:p>
    <w:bookmarkEnd w:id="67"/>
    <w:bookmarkStart w:name="z67" w:id="68"/>
    <w:p>
      <w:pPr>
        <w:spacing w:after="0"/>
        <w:ind w:left="0"/>
        <w:jc w:val="both"/>
      </w:pPr>
      <w:r>
        <w:rPr>
          <w:rFonts w:ascii="Times New Roman"/>
          <w:b w:val="false"/>
          <w:i w:val="false"/>
          <w:color w:val="000000"/>
          <w:sz w:val="28"/>
        </w:rPr>
        <w:t>
      2) учредительных документов клиринговой организации;</w:t>
      </w:r>
    </w:p>
    <w:bookmarkEnd w:id="68"/>
    <w:bookmarkStart w:name="z68" w:id="69"/>
    <w:p>
      <w:pPr>
        <w:spacing w:after="0"/>
        <w:ind w:left="0"/>
        <w:jc w:val="both"/>
      </w:pPr>
      <w:r>
        <w:rPr>
          <w:rFonts w:ascii="Times New Roman"/>
          <w:b w:val="false"/>
          <w:i w:val="false"/>
          <w:color w:val="000000"/>
          <w:sz w:val="28"/>
        </w:rPr>
        <w:t>
      3) правил клиринговой организации;</w:t>
      </w:r>
    </w:p>
    <w:bookmarkEnd w:id="69"/>
    <w:bookmarkStart w:name="z69" w:id="70"/>
    <w:p>
      <w:pPr>
        <w:spacing w:after="0"/>
        <w:ind w:left="0"/>
        <w:jc w:val="both"/>
      </w:pPr>
      <w:r>
        <w:rPr>
          <w:rFonts w:ascii="Times New Roman"/>
          <w:b w:val="false"/>
          <w:i w:val="false"/>
          <w:color w:val="000000"/>
          <w:sz w:val="28"/>
        </w:rPr>
        <w:t>
      4) годовой и ежеквартальной финансовой отчетности клиринговой организации, включая финансовую отчетность, подтвержденную аудиторской организацией, и аудиторского отчета;</w:t>
      </w:r>
    </w:p>
    <w:bookmarkEnd w:id="70"/>
    <w:bookmarkStart w:name="z70" w:id="71"/>
    <w:p>
      <w:pPr>
        <w:spacing w:after="0"/>
        <w:ind w:left="0"/>
        <w:jc w:val="both"/>
      </w:pPr>
      <w:r>
        <w:rPr>
          <w:rFonts w:ascii="Times New Roman"/>
          <w:b w:val="false"/>
          <w:i w:val="false"/>
          <w:color w:val="000000"/>
          <w:sz w:val="28"/>
        </w:rPr>
        <w:t>
      5) информации о клиринговых участниках торгов с указанием наименования клирингового участника торгов, даты и номера выданной ему лицензии, даты присвоения (приостановления действия, лишения) статуса клирингового участника торгов, основания приостановления действия (лишения) статуса клирингового участника торгов;</w:t>
      </w:r>
    </w:p>
    <w:bookmarkEnd w:id="71"/>
    <w:bookmarkStart w:name="z71" w:id="72"/>
    <w:p>
      <w:pPr>
        <w:spacing w:after="0"/>
        <w:ind w:left="0"/>
        <w:jc w:val="both"/>
      </w:pPr>
      <w:r>
        <w:rPr>
          <w:rFonts w:ascii="Times New Roman"/>
          <w:b w:val="false"/>
          <w:i w:val="false"/>
          <w:color w:val="000000"/>
          <w:sz w:val="28"/>
        </w:rPr>
        <w:t>
      6) наименовании организаторов торгов и (или) товарных бирж, обслуживаемых клиринговой организацией, с указанием рынков, видов финансовых инструментов и сделок (методов торгов), принимаемых на обслуживание клиринговой организацией;</w:t>
      </w:r>
    </w:p>
    <w:bookmarkEnd w:id="72"/>
    <w:bookmarkStart w:name="z72" w:id="73"/>
    <w:p>
      <w:pPr>
        <w:spacing w:after="0"/>
        <w:ind w:left="0"/>
        <w:jc w:val="both"/>
      </w:pPr>
      <w:r>
        <w:rPr>
          <w:rFonts w:ascii="Times New Roman"/>
          <w:b w:val="false"/>
          <w:i w:val="false"/>
          <w:color w:val="000000"/>
          <w:sz w:val="28"/>
        </w:rPr>
        <w:t>
      7) наименовании расчетных организаций;</w:t>
      </w:r>
    </w:p>
    <w:bookmarkEnd w:id="73"/>
    <w:bookmarkStart w:name="z73" w:id="74"/>
    <w:p>
      <w:pPr>
        <w:spacing w:after="0"/>
        <w:ind w:left="0"/>
        <w:jc w:val="both"/>
      </w:pPr>
      <w:r>
        <w:rPr>
          <w:rFonts w:ascii="Times New Roman"/>
          <w:b w:val="false"/>
          <w:i w:val="false"/>
          <w:color w:val="000000"/>
          <w:sz w:val="28"/>
        </w:rPr>
        <w:t xml:space="preserve">
      8) информации, подлежащей раскрытию в соответствии с законодательством Республики Казахстан о </w:t>
      </w:r>
      <w:r>
        <w:rPr>
          <w:rFonts w:ascii="Times New Roman"/>
          <w:b w:val="false"/>
          <w:i w:val="false"/>
          <w:color w:val="000000"/>
          <w:sz w:val="28"/>
        </w:rPr>
        <w:t>рынке ценных бумаг</w:t>
      </w:r>
      <w:r>
        <w:rPr>
          <w:rFonts w:ascii="Times New Roman"/>
          <w:b w:val="false"/>
          <w:i w:val="false"/>
          <w:color w:val="000000"/>
          <w:sz w:val="28"/>
        </w:rPr>
        <w:t xml:space="preserve">, об </w:t>
      </w:r>
      <w:r>
        <w:rPr>
          <w:rFonts w:ascii="Times New Roman"/>
          <w:b w:val="false"/>
          <w:i w:val="false"/>
          <w:color w:val="000000"/>
          <w:sz w:val="28"/>
        </w:rPr>
        <w:t>акционерных обществах</w:t>
      </w:r>
      <w:r>
        <w:rPr>
          <w:rFonts w:ascii="Times New Roman"/>
          <w:b w:val="false"/>
          <w:i w:val="false"/>
          <w:color w:val="000000"/>
          <w:sz w:val="28"/>
        </w:rPr>
        <w:t xml:space="preserve"> и правилами клиринговой организации.</w:t>
      </w:r>
    </w:p>
    <w:bookmarkEnd w:id="74"/>
    <w:bookmarkStart w:name="z74" w:id="75"/>
    <w:p>
      <w:pPr>
        <w:spacing w:after="0"/>
        <w:ind w:left="0"/>
        <w:jc w:val="both"/>
      </w:pPr>
      <w:r>
        <w:rPr>
          <w:rFonts w:ascii="Times New Roman"/>
          <w:b w:val="false"/>
          <w:i w:val="false"/>
          <w:color w:val="000000"/>
          <w:sz w:val="28"/>
        </w:rPr>
        <w:t xml:space="preserve">
      23. Клиринговая организация обеспечивает свободный доступ к ознакомлению с информацией, перечень которой определен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End w:id="75"/>
    <w:bookmarkStart w:name="z75" w:id="76"/>
    <w:p>
      <w:pPr>
        <w:spacing w:after="0"/>
        <w:ind w:left="0"/>
        <w:jc w:val="left"/>
      </w:pPr>
      <w:r>
        <w:rPr>
          <w:rFonts w:ascii="Times New Roman"/>
          <w:b/>
          <w:i w:val="false"/>
          <w:color w:val="000000"/>
        </w:rPr>
        <w:t xml:space="preserve"> 5. Правила клиринговой организации</w:t>
      </w:r>
    </w:p>
    <w:bookmarkEnd w:id="76"/>
    <w:bookmarkStart w:name="z76" w:id="77"/>
    <w:p>
      <w:pPr>
        <w:spacing w:after="0"/>
        <w:ind w:left="0"/>
        <w:jc w:val="both"/>
      </w:pPr>
      <w:r>
        <w:rPr>
          <w:rFonts w:ascii="Times New Roman"/>
          <w:b w:val="false"/>
          <w:i w:val="false"/>
          <w:color w:val="000000"/>
          <w:sz w:val="28"/>
        </w:rPr>
        <w:t>
      24. Правила клиринговой организации разрабатываются ее исполнительным органом и утверждаются советом директоров клиринговой организации.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Правления Национального Банка РК от 28.01.2016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78"/>
    <w:p>
      <w:pPr>
        <w:spacing w:after="0"/>
        <w:ind w:left="0"/>
        <w:jc w:val="both"/>
      </w:pPr>
      <w:r>
        <w:rPr>
          <w:rFonts w:ascii="Times New Roman"/>
          <w:b w:val="false"/>
          <w:i w:val="false"/>
          <w:color w:val="000000"/>
          <w:sz w:val="28"/>
        </w:rPr>
        <w:t>
      24-1. Клиринговая организация в течение 10 (десяти) рабочих дней со дня утверждения правил клиринговой организации либо внесения в них изменений и (или) дополнений уведомляет об этом уполномоченный орган с приложением подтверждающих документов.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постановлением Правления Национального Банка РК от 30.05.2016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Исключен постановлением Правления Национального Банка РК от 28.01.2016 </w:t>
      </w:r>
      <w:r>
        <w:rPr>
          <w:rFonts w:ascii="Times New Roman"/>
          <w:b w:val="false"/>
          <w:i w:val="false"/>
          <w:color w:val="000000"/>
          <w:sz w:val="28"/>
        </w:rPr>
        <w:t>№ 12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8"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Исключен постановлением Правления Национального Банка РК от 28.01.2016 </w:t>
      </w:r>
      <w:r>
        <w:rPr>
          <w:rFonts w:ascii="Times New Roman"/>
          <w:b w:val="false"/>
          <w:i w:val="false"/>
          <w:color w:val="000000"/>
          <w:sz w:val="28"/>
        </w:rPr>
        <w:t>№ 12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9"/>
    <w:bookmarkStart w:name="z79" w:id="80"/>
    <w:p>
      <w:pPr>
        <w:spacing w:after="0"/>
        <w:ind w:left="0"/>
        <w:jc w:val="both"/>
      </w:pPr>
      <w:r>
        <w:rPr>
          <w:rFonts w:ascii="Times New Roman"/>
          <w:b w:val="false"/>
          <w:i w:val="false"/>
          <w:color w:val="000000"/>
          <w:sz w:val="28"/>
        </w:rPr>
        <w:t>
      27. Правила клиринговой организации определяют условия и порядок осуществления клиринговой деятельности по сделкам с финансовыми инструментами, и включают положения, определяющие:</w:t>
      </w:r>
    </w:p>
    <w:bookmarkEnd w:id="80"/>
    <w:bookmarkStart w:name="z80" w:id="81"/>
    <w:p>
      <w:pPr>
        <w:spacing w:after="0"/>
        <w:ind w:left="0"/>
        <w:jc w:val="both"/>
      </w:pPr>
      <w:r>
        <w:rPr>
          <w:rFonts w:ascii="Times New Roman"/>
          <w:b w:val="false"/>
          <w:i w:val="false"/>
          <w:color w:val="000000"/>
          <w:sz w:val="28"/>
        </w:rPr>
        <w:t>
      1) требования к клиринговым участникам торгов с указанием их прав и обязанностей, в том числе обязанности по поддержанию финансовой устойчивости клирингового участника торгов;</w:t>
      </w:r>
    </w:p>
    <w:bookmarkEnd w:id="81"/>
    <w:bookmarkStart w:name="z81" w:id="82"/>
    <w:p>
      <w:pPr>
        <w:spacing w:after="0"/>
        <w:ind w:left="0"/>
        <w:jc w:val="both"/>
      </w:pPr>
      <w:r>
        <w:rPr>
          <w:rFonts w:ascii="Times New Roman"/>
          <w:b w:val="false"/>
          <w:i w:val="false"/>
          <w:color w:val="000000"/>
          <w:sz w:val="28"/>
        </w:rPr>
        <w:t>
      2) порядок и условия присвоения (приостановления действия, лишения) статуса клирингового участника торгов;</w:t>
      </w:r>
    </w:p>
    <w:bookmarkEnd w:id="82"/>
    <w:bookmarkStart w:name="z82" w:id="83"/>
    <w:p>
      <w:pPr>
        <w:spacing w:after="0"/>
        <w:ind w:left="0"/>
        <w:jc w:val="both"/>
      </w:pPr>
      <w:r>
        <w:rPr>
          <w:rFonts w:ascii="Times New Roman"/>
          <w:b w:val="false"/>
          <w:i w:val="false"/>
          <w:color w:val="000000"/>
          <w:sz w:val="28"/>
        </w:rPr>
        <w:t>
      3) перечень информации о деятельности клиринговых участников торгов, предоставляемой ими клиринговой организации для осуществления мониторинга финансового состояния клиринговых участников торгов, соответствия клиринговых участников торгов требованиям правил клиринговой организации, а также порядок и сроки предоставления данной информации;</w:t>
      </w:r>
    </w:p>
    <w:bookmarkEnd w:id="83"/>
    <w:bookmarkStart w:name="z83" w:id="84"/>
    <w:p>
      <w:pPr>
        <w:spacing w:after="0"/>
        <w:ind w:left="0"/>
        <w:jc w:val="both"/>
      </w:pPr>
      <w:r>
        <w:rPr>
          <w:rFonts w:ascii="Times New Roman"/>
          <w:b w:val="false"/>
          <w:i w:val="false"/>
          <w:color w:val="000000"/>
          <w:sz w:val="28"/>
        </w:rPr>
        <w:t>
      4) порядок распоряжения информацией, полученной клиринговой организацией от клиринговых участников торгов и уполномоченного органа;</w:t>
      </w:r>
    </w:p>
    <w:bookmarkEnd w:id="84"/>
    <w:bookmarkStart w:name="z84" w:id="85"/>
    <w:p>
      <w:pPr>
        <w:spacing w:after="0"/>
        <w:ind w:left="0"/>
        <w:jc w:val="both"/>
      </w:pPr>
      <w:r>
        <w:rPr>
          <w:rFonts w:ascii="Times New Roman"/>
          <w:b w:val="false"/>
          <w:i w:val="false"/>
          <w:color w:val="000000"/>
          <w:sz w:val="28"/>
        </w:rPr>
        <w:t>
      5) порядок мониторинга финансового состояния клиринговых участников торгов, а также соответствия клиринговых участников торгов требованиям правил клиринговой организации;</w:t>
      </w:r>
    </w:p>
    <w:bookmarkEnd w:id="85"/>
    <w:bookmarkStart w:name="z85" w:id="86"/>
    <w:p>
      <w:pPr>
        <w:spacing w:after="0"/>
        <w:ind w:left="0"/>
        <w:jc w:val="both"/>
      </w:pPr>
      <w:r>
        <w:rPr>
          <w:rFonts w:ascii="Times New Roman"/>
          <w:b w:val="false"/>
          <w:i w:val="false"/>
          <w:color w:val="000000"/>
          <w:sz w:val="28"/>
        </w:rPr>
        <w:t>
      6) порядок и условия формирования специальных клиринговых (гарантийных) фондов, а также порядок и условия уплаты взносов и сборов клиринговой организации;</w:t>
      </w:r>
    </w:p>
    <w:bookmarkEnd w:id="86"/>
    <w:bookmarkStart w:name="z86" w:id="87"/>
    <w:p>
      <w:pPr>
        <w:spacing w:after="0"/>
        <w:ind w:left="0"/>
        <w:jc w:val="both"/>
      </w:pPr>
      <w:r>
        <w:rPr>
          <w:rFonts w:ascii="Times New Roman"/>
          <w:b w:val="false"/>
          <w:i w:val="false"/>
          <w:color w:val="000000"/>
          <w:sz w:val="28"/>
        </w:rPr>
        <w:t>
      7) порядок и условия формирования клиринговой организацией резервных фондов;</w:t>
      </w:r>
    </w:p>
    <w:bookmarkEnd w:id="87"/>
    <w:bookmarkStart w:name="z87" w:id="88"/>
    <w:p>
      <w:pPr>
        <w:spacing w:after="0"/>
        <w:ind w:left="0"/>
        <w:jc w:val="both"/>
      </w:pPr>
      <w:r>
        <w:rPr>
          <w:rFonts w:ascii="Times New Roman"/>
          <w:b w:val="false"/>
          <w:i w:val="false"/>
          <w:color w:val="000000"/>
          <w:sz w:val="28"/>
        </w:rPr>
        <w:t>
      8) порядок сбора, обработки и хранения информации по заключенным сделкам, ее сверки и корректировки при наличии расхождений;</w:t>
      </w:r>
    </w:p>
    <w:bookmarkEnd w:id="88"/>
    <w:bookmarkStart w:name="z88" w:id="89"/>
    <w:p>
      <w:pPr>
        <w:spacing w:after="0"/>
        <w:ind w:left="0"/>
        <w:jc w:val="both"/>
      </w:pPr>
      <w:r>
        <w:rPr>
          <w:rFonts w:ascii="Times New Roman"/>
          <w:b w:val="false"/>
          <w:i w:val="false"/>
          <w:color w:val="000000"/>
          <w:sz w:val="28"/>
        </w:rPr>
        <w:t>
      9) порядок учета и подтверждения клиринговой организацией параметров заключенных сделок с финансовыми инструментами;</w:t>
      </w:r>
    </w:p>
    <w:bookmarkEnd w:id="89"/>
    <w:bookmarkStart w:name="z89" w:id="90"/>
    <w:p>
      <w:pPr>
        <w:spacing w:after="0"/>
        <w:ind w:left="0"/>
        <w:jc w:val="both"/>
      </w:pPr>
      <w:r>
        <w:rPr>
          <w:rFonts w:ascii="Times New Roman"/>
          <w:b w:val="false"/>
          <w:i w:val="false"/>
          <w:color w:val="000000"/>
          <w:sz w:val="28"/>
        </w:rPr>
        <w:t>
      10) порядок определения требований и (или) обязательств клиринговых участников торгов;</w:t>
      </w:r>
    </w:p>
    <w:bookmarkEnd w:id="90"/>
    <w:bookmarkStart w:name="z90" w:id="91"/>
    <w:p>
      <w:pPr>
        <w:spacing w:after="0"/>
        <w:ind w:left="0"/>
        <w:jc w:val="both"/>
      </w:pPr>
      <w:r>
        <w:rPr>
          <w:rFonts w:ascii="Times New Roman"/>
          <w:b w:val="false"/>
          <w:i w:val="false"/>
          <w:color w:val="000000"/>
          <w:sz w:val="28"/>
        </w:rPr>
        <w:t>
      11) порядок, условия и способы исполнения обязательств по результатам клиринговой деятельности;</w:t>
      </w:r>
    </w:p>
    <w:bookmarkEnd w:id="91"/>
    <w:bookmarkStart w:name="z91" w:id="92"/>
    <w:p>
      <w:pPr>
        <w:spacing w:after="0"/>
        <w:ind w:left="0"/>
        <w:jc w:val="both"/>
      </w:pPr>
      <w:r>
        <w:rPr>
          <w:rFonts w:ascii="Times New Roman"/>
          <w:b w:val="false"/>
          <w:i w:val="false"/>
          <w:color w:val="000000"/>
          <w:sz w:val="28"/>
        </w:rPr>
        <w:t>
      12) порядок предоставления клиринговой организацией отчетов клиринговым участникам торгов по результатам клиринговой деятельности по сделкам с финансовыми инструментами;</w:t>
      </w:r>
    </w:p>
    <w:bookmarkEnd w:id="92"/>
    <w:bookmarkStart w:name="z92" w:id="93"/>
    <w:p>
      <w:pPr>
        <w:spacing w:after="0"/>
        <w:ind w:left="0"/>
        <w:jc w:val="both"/>
      </w:pPr>
      <w:r>
        <w:rPr>
          <w:rFonts w:ascii="Times New Roman"/>
          <w:b w:val="false"/>
          <w:i w:val="false"/>
          <w:color w:val="000000"/>
          <w:sz w:val="28"/>
        </w:rPr>
        <w:t>
      13) порядок подготовки и передачи информации по результатам клиринговой деятельности по сделкам с финансовыми инструментами расчетной организации, организатору торгов и (или) товарной бирже;</w:t>
      </w:r>
    </w:p>
    <w:bookmarkEnd w:id="93"/>
    <w:bookmarkStart w:name="z93" w:id="94"/>
    <w:p>
      <w:pPr>
        <w:spacing w:after="0"/>
        <w:ind w:left="0"/>
        <w:jc w:val="both"/>
      </w:pPr>
      <w:r>
        <w:rPr>
          <w:rFonts w:ascii="Times New Roman"/>
          <w:b w:val="false"/>
          <w:i w:val="false"/>
          <w:color w:val="000000"/>
          <w:sz w:val="28"/>
        </w:rPr>
        <w:t>
      14) типовые формы договоров об осуществлении клирингового обслуживания, определяющего отношения между клиринговой организацией и клиринговыми участниками торгов;</w:t>
      </w:r>
    </w:p>
    <w:bookmarkEnd w:id="94"/>
    <w:bookmarkStart w:name="z94" w:id="95"/>
    <w:p>
      <w:pPr>
        <w:spacing w:after="0"/>
        <w:ind w:left="0"/>
        <w:jc w:val="both"/>
      </w:pPr>
      <w:r>
        <w:rPr>
          <w:rFonts w:ascii="Times New Roman"/>
          <w:b w:val="false"/>
          <w:i w:val="false"/>
          <w:color w:val="000000"/>
          <w:sz w:val="28"/>
        </w:rPr>
        <w:t>
      15) требования к содержанию договора, заключаемого клиринговой организацией с расчетной организацией, организатором торгов и (или) товарной биржей;</w:t>
      </w:r>
    </w:p>
    <w:bookmarkEnd w:id="95"/>
    <w:bookmarkStart w:name="z95" w:id="96"/>
    <w:p>
      <w:pPr>
        <w:spacing w:after="0"/>
        <w:ind w:left="0"/>
        <w:jc w:val="both"/>
      </w:pPr>
      <w:r>
        <w:rPr>
          <w:rFonts w:ascii="Times New Roman"/>
          <w:b w:val="false"/>
          <w:i w:val="false"/>
          <w:color w:val="000000"/>
          <w:sz w:val="28"/>
        </w:rPr>
        <w:t xml:space="preserve">
      16) порядок и условия исполнения клиринговой организацией функций центрального контрагента; </w:t>
      </w:r>
    </w:p>
    <w:bookmarkEnd w:id="96"/>
    <w:bookmarkStart w:name="z97" w:id="97"/>
    <w:p>
      <w:pPr>
        <w:spacing w:after="0"/>
        <w:ind w:left="0"/>
        <w:jc w:val="both"/>
      </w:pPr>
      <w:r>
        <w:rPr>
          <w:rFonts w:ascii="Times New Roman"/>
          <w:b w:val="false"/>
          <w:i w:val="false"/>
          <w:color w:val="000000"/>
          <w:sz w:val="28"/>
        </w:rPr>
        <w:t xml:space="preserve">
      17) положения, определение которых необходимо для реализации функций клиринговой организации, установленных </w:t>
      </w:r>
      <w:r>
        <w:rPr>
          <w:rFonts w:ascii="Times New Roman"/>
          <w:b w:val="false"/>
          <w:i w:val="false"/>
          <w:color w:val="000000"/>
          <w:sz w:val="28"/>
        </w:rPr>
        <w:t>статьей 77-2</w:t>
      </w:r>
      <w:r>
        <w:rPr>
          <w:rFonts w:ascii="Times New Roman"/>
          <w:b w:val="false"/>
          <w:i w:val="false"/>
          <w:color w:val="000000"/>
          <w:sz w:val="28"/>
        </w:rPr>
        <w:t xml:space="preserve"> Закона Республики Казахстан от 2 июля 2003 года "О рынке ценных бумаг".</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Правления Национального банка РК от 04.07.2012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98"/>
    <w:p>
      <w:pPr>
        <w:spacing w:after="0"/>
        <w:ind w:left="0"/>
        <w:jc w:val="both"/>
      </w:pPr>
      <w:r>
        <w:rPr>
          <w:rFonts w:ascii="Times New Roman"/>
          <w:b w:val="false"/>
          <w:i w:val="false"/>
          <w:color w:val="000000"/>
          <w:sz w:val="28"/>
        </w:rPr>
        <w:t xml:space="preserve">
       28. Документы, перечисленные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 составляют правила клиринговой организации и оформляются в качестве отдельных документов клиринговой организации либо включаются в состав единых правил клиринговой организации.</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