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6729" w14:textId="9e66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инвестирования финансовых инструментов и иного имущества, входящего в состав активов инвестиционного фонда, и перечня финансовых инструментов, которые могут входить в состав активов акционерных и паевых инвестиционных фондов</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февраля 2012 года № 60. Зарегистрировано в Министерстве юстиции Республики Казахстан 10 апреля 2012 года № 7540.</w:t>
      </w:r>
    </w:p>
    <w:p>
      <w:pPr>
        <w:spacing w:after="0"/>
        <w:ind w:left="0"/>
        <w:jc w:val="both"/>
      </w:pPr>
      <w:bookmarkStart w:name="z1" w:id="0"/>
      <w:r>
        <w:rPr>
          <w:rFonts w:ascii="Times New Roman"/>
          <w:b w:val="false"/>
          <w:i w:val="false"/>
          <w:color w:val="ff0000"/>
          <w:sz w:val="28"/>
        </w:rPr>
        <w:t xml:space="preserve">
      Сноска. Заголовок приказа в редакции постановления Правления Национального Банка РК от 28.10.2016 </w:t>
      </w:r>
      <w:r>
        <w:rPr>
          <w:rFonts w:ascii="Times New Roman"/>
          <w:b w:val="false"/>
          <w:i w:val="false"/>
          <w:color w:val="ff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37 Закона Республики Казахстан "Об инвестиционных и венчурных фондах" (далее - Закон) Правление Национального Банка Республики Казахстан </w:t>
      </w:r>
      <w:r>
        <w:rPr>
          <w:rFonts w:ascii="Times New Roman"/>
          <w:b/>
          <w:i w:val="false"/>
          <w:color w:val="000000"/>
          <w:sz w:val="28"/>
        </w:rPr>
        <w:t>ПОСТАНОВЛЯЕТ: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31.12.2025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Правила инвестирования финансовых инструментов и иного имущества, входящего в состав активов инвестиционного фонда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2) Перечень финансовых инструментов, которые могут входить в состав активов акционерных и паевых инвестиционных фондов,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 постановлением Правления Национального Банка РК от 28.10.2016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21 августа 2004 года № 258 "Об утверждении Правил инвестирования активов инвестиционного фонда за пределами Республики Казахстан" (зарегистрированное в Реестре государственной регистрации нормативных правовых актов под № 3131).</w:t>
      </w:r>
    </w:p>
    <w:bookmarkEnd w:id="4"/>
    <w:bookmarkStart w:name="z6" w:id="5"/>
    <w:p>
      <w:pPr>
        <w:spacing w:after="0"/>
        <w:ind w:left="0"/>
        <w:jc w:val="both"/>
      </w:pPr>
      <w:r>
        <w:rPr>
          <w:rFonts w:ascii="Times New Roman"/>
          <w:b w:val="false"/>
          <w:i w:val="false"/>
          <w:color w:val="000000"/>
          <w:sz w:val="28"/>
        </w:rPr>
        <w:t>
      3. Управляющим компаниям в течение трех месяцев со дня введения в действие настоящего постановления привести свою деятельность в соответствие с требованиями настоящего постановления.</w:t>
      </w:r>
    </w:p>
    <w:bookmarkEnd w:id="5"/>
    <w:bookmarkStart w:name="z7"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2012 года № 60</w:t>
            </w:r>
          </w:p>
        </w:tc>
      </w:tr>
    </w:tbl>
    <w:bookmarkStart w:name="z9" w:id="7"/>
    <w:p>
      <w:pPr>
        <w:spacing w:after="0"/>
        <w:ind w:left="0"/>
        <w:jc w:val="left"/>
      </w:pPr>
      <w:r>
        <w:rPr>
          <w:rFonts w:ascii="Times New Roman"/>
          <w:b/>
          <w:i w:val="false"/>
          <w:color w:val="000000"/>
        </w:rPr>
        <w:t xml:space="preserve"> Правила</w:t>
      </w:r>
      <w:r>
        <w:br/>
      </w:r>
      <w:r>
        <w:rPr>
          <w:rFonts w:ascii="Times New Roman"/>
          <w:b/>
          <w:i w:val="false"/>
          <w:color w:val="000000"/>
        </w:rPr>
        <w:t>инвестирования финансовых инструментов и иного имущества,</w:t>
      </w:r>
      <w:r>
        <w:br/>
      </w:r>
      <w:r>
        <w:rPr>
          <w:rFonts w:ascii="Times New Roman"/>
          <w:b/>
          <w:i w:val="false"/>
          <w:color w:val="000000"/>
        </w:rPr>
        <w:t>входящего в состав активов инвестиционного фонда</w:t>
      </w:r>
    </w:p>
    <w:bookmarkEnd w:id="7"/>
    <w:p>
      <w:pPr>
        <w:spacing w:after="0"/>
        <w:ind w:left="0"/>
        <w:jc w:val="both"/>
      </w:pPr>
      <w:r>
        <w:rPr>
          <w:rFonts w:ascii="Times New Roman"/>
          <w:b w:val="false"/>
          <w:i w:val="false"/>
          <w:color w:val="ff0000"/>
          <w:sz w:val="28"/>
        </w:rPr>
        <w:t xml:space="preserve">
      Сноска. В заголовок внесено изменение на государственном языке, текст на русском языке не меняется, в соответствии с постановлением Правления Национального Банка РК от 28.10.2016 </w:t>
      </w:r>
      <w:r>
        <w:rPr>
          <w:rFonts w:ascii="Times New Roman"/>
          <w:b w:val="false"/>
          <w:i w:val="false"/>
          <w:color w:val="ff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8"/>
    <w:p>
      <w:pPr>
        <w:spacing w:after="0"/>
        <w:ind w:left="0"/>
        <w:jc w:val="both"/>
      </w:pPr>
      <w:r>
        <w:rPr>
          <w:rFonts w:ascii="Times New Roman"/>
          <w:b w:val="false"/>
          <w:i w:val="false"/>
          <w:color w:val="000000"/>
          <w:sz w:val="28"/>
        </w:rPr>
        <w:t xml:space="preserve">
      Настоящие Правила инвестирования финансовых инструментов и иного имущества, входящего в состав активов инвестиционного фонда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и устанавливают порядок инвестирования финансовых инструментов и иного имущества, входящего в состав активов акционерных и паевых инвестиционных фондов.</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22.12.2023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1. Для целей Правил используются следующие понятия:</w:t>
      </w:r>
    </w:p>
    <w:bookmarkEnd w:id="9"/>
    <w:bookmarkStart w:name="z605" w:id="10"/>
    <w:p>
      <w:pPr>
        <w:spacing w:after="0"/>
        <w:ind w:left="0"/>
        <w:jc w:val="both"/>
      </w:pPr>
      <w:r>
        <w:rPr>
          <w:rFonts w:ascii="Times New Roman"/>
          <w:b w:val="false"/>
          <w:i w:val="false"/>
          <w:color w:val="000000"/>
          <w:sz w:val="28"/>
        </w:rPr>
        <w:t>
      1) котировка - ценовые предложения контрпартнеров по финансовым инструментам, полученные посредством почтовой, электронной или факсимильной связи;</w:t>
      </w:r>
    </w:p>
    <w:bookmarkEnd w:id="10"/>
    <w:bookmarkStart w:name="z606" w:id="11"/>
    <w:p>
      <w:pPr>
        <w:spacing w:after="0"/>
        <w:ind w:left="0"/>
        <w:jc w:val="both"/>
      </w:pPr>
      <w:r>
        <w:rPr>
          <w:rFonts w:ascii="Times New Roman"/>
          <w:b w:val="false"/>
          <w:i w:val="false"/>
          <w:color w:val="000000"/>
          <w:sz w:val="28"/>
        </w:rPr>
        <w:t>
      2) управляющая компания - профессиональный участник рынка ценных бумаг, осуществляющий деятельность по управлению инвестиционным портфелем на основании лицензии, выданной уполномоченным органом по регулированию, контролю и надзору финансового рынка и финансовых организаций (далее - уполномоченный орган);</w:t>
      </w:r>
    </w:p>
    <w:bookmarkEnd w:id="11"/>
    <w:bookmarkStart w:name="z607" w:id="12"/>
    <w:p>
      <w:pPr>
        <w:spacing w:after="0"/>
        <w:ind w:left="0"/>
        <w:jc w:val="both"/>
      </w:pPr>
      <w:r>
        <w:rPr>
          <w:rFonts w:ascii="Times New Roman"/>
          <w:b w:val="false"/>
          <w:i w:val="false"/>
          <w:color w:val="000000"/>
          <w:sz w:val="28"/>
        </w:rPr>
        <w:t>
      3) биржевой паевой инвестиционный фонд (Exchange Traded Fund) (ETF) (Эксчейндж Трэйдэд Фандс) - интервальный паевой инвестиционный фонд индексного инвестирования, паи которого обращаются на фондовой бирже;</w:t>
      </w:r>
    </w:p>
    <w:bookmarkEnd w:id="12"/>
    <w:bookmarkStart w:name="z608" w:id="13"/>
    <w:p>
      <w:pPr>
        <w:spacing w:after="0"/>
        <w:ind w:left="0"/>
        <w:jc w:val="both"/>
      </w:pPr>
      <w:r>
        <w:rPr>
          <w:rFonts w:ascii="Times New Roman"/>
          <w:b w:val="false"/>
          <w:i w:val="false"/>
          <w:color w:val="000000"/>
          <w:sz w:val="28"/>
        </w:rPr>
        <w:t xml:space="preserve">
      4) инвестиционный фонд – акционерный или паевой инвестиционный фонд, созданный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3"/>
    <w:bookmarkStart w:name="z609" w:id="14"/>
    <w:p>
      <w:pPr>
        <w:spacing w:after="0"/>
        <w:ind w:left="0"/>
        <w:jc w:val="both"/>
      </w:pPr>
      <w:r>
        <w:rPr>
          <w:rFonts w:ascii="Times New Roman"/>
          <w:b w:val="false"/>
          <w:i w:val="false"/>
          <w:color w:val="000000"/>
          <w:sz w:val="28"/>
        </w:rPr>
        <w:t>
      5) контрпартнер - юридическое лицо, обладающее правом заключать сделки с финансовыми инструментами в соответствии с законодательством Республики Казахстан или иностранного государства;</w:t>
      </w:r>
    </w:p>
    <w:bookmarkEnd w:id="14"/>
    <w:bookmarkStart w:name="z610" w:id="15"/>
    <w:p>
      <w:pPr>
        <w:spacing w:after="0"/>
        <w:ind w:left="0"/>
        <w:jc w:val="both"/>
      </w:pPr>
      <w:r>
        <w:rPr>
          <w:rFonts w:ascii="Times New Roman"/>
          <w:b w:val="false"/>
          <w:i w:val="false"/>
          <w:color w:val="000000"/>
          <w:sz w:val="28"/>
        </w:rPr>
        <w:t>
      6) международная финансовая организация – организация, имеющая международный статус, созданная и действующая на основании международного договора (соглашения) либо устава;</w:t>
      </w:r>
    </w:p>
    <w:bookmarkEnd w:id="15"/>
    <w:bookmarkStart w:name="z611" w:id="16"/>
    <w:p>
      <w:pPr>
        <w:spacing w:after="0"/>
        <w:ind w:left="0"/>
        <w:jc w:val="both"/>
      </w:pPr>
      <w:r>
        <w:rPr>
          <w:rFonts w:ascii="Times New Roman"/>
          <w:b w:val="false"/>
          <w:i w:val="false"/>
          <w:color w:val="000000"/>
          <w:sz w:val="28"/>
        </w:rPr>
        <w:t>
      7) пай Exchange Traded Funds (ETF) (Эксчейндж Трэйдэд Фандс) – гибридный торговый инструмент, ценообразование по которому привязано к тому или иному классу активов (акции, облигации, товарные продукты) либо индексам;</w:t>
      </w:r>
    </w:p>
    <w:bookmarkEnd w:id="16"/>
    <w:bookmarkStart w:name="z612" w:id="17"/>
    <w:p>
      <w:pPr>
        <w:spacing w:after="0"/>
        <w:ind w:left="0"/>
        <w:jc w:val="both"/>
      </w:pPr>
      <w:r>
        <w:rPr>
          <w:rFonts w:ascii="Times New Roman"/>
          <w:b w:val="false"/>
          <w:i w:val="false"/>
          <w:color w:val="000000"/>
          <w:sz w:val="28"/>
        </w:rPr>
        <w:t>
      8) principal protected notes (принципл протектед ноутс) – долговые ценные бумаги, по которым установлена гарантия эмитента по полному возврату суммы основного долга.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22.12.2023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2. Управляющая компания осуществляет инвестиционное управление активами инвестиционного фонда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настоящих Правил,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3 февраля 2014 года № 10 "Об утверждении Правил осуществления деятельности по управлению инвестиционным портфелем", зарегистрированного в Реестре государственной регистрации нормативных правовых актов под № 9248,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27 августа 2013 года № 214 "Об утверждении Правил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зарегистрированного в Реестре государственной регистрации нормативных правовых актов под № 8796, и инвестиционной декларации инвестиционного фонда.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19.12.2015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3. Управляющая компания заключает сделки за счет активов инвестиционных фондов, принятых в инвестиционное управление, самостоятельно при наличии лицензии на осуществление брокерской и (или) дилерской деятельности либо с использованием услуг юридических лиц, обладающих правом заключать сделки с финансовыми инструментами в соответствии с законодательством Республики Казахстан или иностранного государства (при заключении сделок за счет активов инвестиционного фонда за пределами Республики Казахстан).</w:t>
      </w:r>
    </w:p>
    <w:bookmarkEnd w:id="19"/>
    <w:p>
      <w:pPr>
        <w:spacing w:after="0"/>
        <w:ind w:left="0"/>
        <w:jc w:val="both"/>
      </w:pPr>
      <w:r>
        <w:rPr>
          <w:rFonts w:ascii="Times New Roman"/>
          <w:b w:val="false"/>
          <w:i w:val="false"/>
          <w:color w:val="000000"/>
          <w:sz w:val="28"/>
        </w:rPr>
        <w:t>
      Сделки за счет активов инвестиционного фонда, принятых управляющей компанией в инвестиционное управление, с негосударственными ценными бумагами на первичном неорганизованном рынке (при их размещении), а также с ценными бумагами, не допущенными к обращению на организованном рынке ценных бумаг, и долями участия в уставном капитале юридических лиц совершаются управляющей компанией самостоятельно.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27.08.2013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4. При заключении сделок с финансовыми инструментами управляющая компания руководствуется требованиями,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 февраля 2014 года № 9 "Об утверждении Правил осуществления брокерской и (или) дилерской деятельности на рынке ценных бумаг, порядка проведения брокером и (или) дилером банковских операций" (зарегистрированным в Реестре государственной регистрации нормативных правовых актов под № 9249.)</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22.12.2023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5. Если договором по управлению инвестиционным портфелем инвестиционного фонда предусмотрена возможность передачи управляющей компанией исполнения условий указанного договора третьему лицу, то договором также предусматривается:</w:t>
      </w:r>
    </w:p>
    <w:bookmarkEnd w:id="21"/>
    <w:bookmarkStart w:name="z24" w:id="22"/>
    <w:p>
      <w:pPr>
        <w:spacing w:after="0"/>
        <w:ind w:left="0"/>
        <w:jc w:val="both"/>
      </w:pPr>
      <w:r>
        <w:rPr>
          <w:rFonts w:ascii="Times New Roman"/>
          <w:b w:val="false"/>
          <w:i w:val="false"/>
          <w:color w:val="000000"/>
          <w:sz w:val="28"/>
        </w:rPr>
        <w:t>
      1) ответственность управляющей компании по обязательствам перед акционерным инвестиционным фондом либо держателями паев паевого инвестиционного фонда;</w:t>
      </w:r>
    </w:p>
    <w:bookmarkEnd w:id="22"/>
    <w:bookmarkStart w:name="z25" w:id="23"/>
    <w:p>
      <w:pPr>
        <w:spacing w:after="0"/>
        <w:ind w:left="0"/>
        <w:jc w:val="both"/>
      </w:pPr>
      <w:r>
        <w:rPr>
          <w:rFonts w:ascii="Times New Roman"/>
          <w:b w:val="false"/>
          <w:i w:val="false"/>
          <w:color w:val="000000"/>
          <w:sz w:val="28"/>
        </w:rPr>
        <w:t>
      2) условие управления активами инвестиционного фонда с соблюдением настоящих Правил и инвестиционной декларации данного инвестиционного фонда.</w:t>
      </w:r>
    </w:p>
    <w:bookmarkEnd w:id="23"/>
    <w:bookmarkStart w:name="z26" w:id="24"/>
    <w:p>
      <w:pPr>
        <w:spacing w:after="0"/>
        <w:ind w:left="0"/>
        <w:jc w:val="both"/>
      </w:pPr>
      <w:r>
        <w:rPr>
          <w:rFonts w:ascii="Times New Roman"/>
          <w:b w:val="false"/>
          <w:i w:val="false"/>
          <w:color w:val="000000"/>
          <w:sz w:val="28"/>
        </w:rPr>
        <w:t xml:space="preserve">
      6. Управляющая компания инвестирует активы открытых и интервальных паевых инвестиционных фондов и фондов недвижимости, находящиеся в инвестиционном управлении, в перечень финансовых инструментов, которые могут входить в состав активов акционерных и паевых инвестиционных фондов, определенный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37 Закона.</w:t>
      </w:r>
    </w:p>
    <w:bookmarkEnd w:id="24"/>
    <w:bookmarkStart w:name="z27" w:id="25"/>
    <w:p>
      <w:pPr>
        <w:spacing w:after="0"/>
        <w:ind w:left="0"/>
        <w:jc w:val="both"/>
      </w:pPr>
      <w:r>
        <w:rPr>
          <w:rFonts w:ascii="Times New Roman"/>
          <w:b w:val="false"/>
          <w:i w:val="false"/>
          <w:color w:val="000000"/>
          <w:sz w:val="28"/>
        </w:rPr>
        <w:t>
      Активы акционерных инвестиционных фондов (за исключением фондов недвижимости) и закрытых инвестиционных фондов, находящиеся в инвестиционном управлении у управляющей компании, инвестируются в перечень объектов инвестирования, определенный инвестиционной декларацией инвестиционного фонда.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постановлением Правления Национального Банка РК от 28.10.2016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7. Заключение сделок с производными финансовыми инструментами за счет активов фондов недвижимости, открытых и интервальных паевых инвестиционных фондов допускается для целей хеджирования при условии, что данные производные финансовые инструменты предусмотрены перечнем финансовых инструментов, которые могут входить в состав активов акционерных и паевых инвестиционных фондов, определенным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37 Закона.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19.12.2015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8. Управляющая компания осуществляет инвестирование активов инвестиционного фонда при соблюдении лимитов инвестирования, установленных Правилами и инвестиционной декларацией инвестиционного фонда.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6" w:id="28"/>
    <w:p>
      <w:pPr>
        <w:spacing w:after="0"/>
        <w:ind w:left="0"/>
        <w:jc w:val="both"/>
      </w:pPr>
      <w:r>
        <w:rPr>
          <w:rFonts w:ascii="Times New Roman"/>
          <w:b w:val="false"/>
          <w:i w:val="false"/>
          <w:color w:val="000000"/>
          <w:sz w:val="28"/>
        </w:rPr>
        <w:t xml:space="preserve">
      8-1. Суммарный размер инвестиций за счет активов инвестиционного фонда в финансовые инструменты, выпущенные (предоставленные) одним лицом и его аффилированными лицами, за исключением финансовых инструментов, суммарный размер инвестиций в которые за счет активов инвестиционного фонда установлен </w:t>
      </w:r>
      <w:r>
        <w:rPr>
          <w:rFonts w:ascii="Times New Roman"/>
          <w:b w:val="false"/>
          <w:i w:val="false"/>
          <w:color w:val="000000"/>
          <w:sz w:val="28"/>
        </w:rPr>
        <w:t>пунктом 8-2</w:t>
      </w:r>
      <w:r>
        <w:rPr>
          <w:rFonts w:ascii="Times New Roman"/>
          <w:b w:val="false"/>
          <w:i w:val="false"/>
          <w:color w:val="000000"/>
          <w:sz w:val="28"/>
        </w:rPr>
        <w:t xml:space="preserve"> Правил, не превышает:</w:t>
      </w:r>
    </w:p>
    <w:bookmarkEnd w:id="28"/>
    <w:bookmarkStart w:name="z597" w:id="29"/>
    <w:p>
      <w:pPr>
        <w:spacing w:after="0"/>
        <w:ind w:left="0"/>
        <w:jc w:val="both"/>
      </w:pPr>
      <w:r>
        <w:rPr>
          <w:rFonts w:ascii="Times New Roman"/>
          <w:b w:val="false"/>
          <w:i w:val="false"/>
          <w:color w:val="000000"/>
          <w:sz w:val="28"/>
        </w:rPr>
        <w:t>
      1) двадцать процентов стоимости чистых активов для открытого или интервального паевого инвестиционного фонда;</w:t>
      </w:r>
    </w:p>
    <w:bookmarkEnd w:id="29"/>
    <w:bookmarkStart w:name="z598" w:id="30"/>
    <w:p>
      <w:pPr>
        <w:spacing w:after="0"/>
        <w:ind w:left="0"/>
        <w:jc w:val="both"/>
      </w:pPr>
      <w:r>
        <w:rPr>
          <w:rFonts w:ascii="Times New Roman"/>
          <w:b w:val="false"/>
          <w:i w:val="false"/>
          <w:color w:val="000000"/>
          <w:sz w:val="28"/>
        </w:rPr>
        <w:t>
      2) тридцать процентов стоимости чистых активов для акционерного инвестиционного фонда и закрытого паевого инвестиционного фонда;</w:t>
      </w:r>
    </w:p>
    <w:bookmarkEnd w:id="30"/>
    <w:bookmarkStart w:name="z599" w:id="31"/>
    <w:p>
      <w:pPr>
        <w:spacing w:after="0"/>
        <w:ind w:left="0"/>
        <w:jc w:val="both"/>
      </w:pPr>
      <w:r>
        <w:rPr>
          <w:rFonts w:ascii="Times New Roman"/>
          <w:b w:val="false"/>
          <w:i w:val="false"/>
          <w:color w:val="000000"/>
          <w:sz w:val="28"/>
        </w:rPr>
        <w:t>
      3) сто процентов стоимости активов открытого, интервального и закрытого паевого инвестиционного фонда и акционерного инвестиционного фонда в отношении денег, ценных бумаг, являющихся предметом операции обратного репо, заключенной с участием центрального контрагента, государственных ценных бумаг Республики Казахстан, паев Exchange Traded Funds (Эксчейндж Трэйдэд Фандс), ценообразование по которым привязано к фондовым индексам.</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постановлением Правления Агентства РК по регулированию и развитию финансового рынка от 12.02.2021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0" w:id="32"/>
    <w:p>
      <w:pPr>
        <w:spacing w:after="0"/>
        <w:ind w:left="0"/>
        <w:jc w:val="both"/>
      </w:pPr>
      <w:r>
        <w:rPr>
          <w:rFonts w:ascii="Times New Roman"/>
          <w:b w:val="false"/>
          <w:i w:val="false"/>
          <w:color w:val="000000"/>
          <w:sz w:val="28"/>
        </w:rPr>
        <w:t>
      8-2. Суммарный размер инвестиций за счет активов инвестиционного фонда в финансовые инструменты, выпущенные (предоставленные) одним лицом, более пятидесяти процентов голосующих акций которого принадлежат государству или национальному управляющему холдингу, или национальному холдингу и его аффилированным лицам, осуществляющим деятельность в одной отрасли национальной экономики, не превышает:</w:t>
      </w:r>
    </w:p>
    <w:bookmarkEnd w:id="32"/>
    <w:bookmarkStart w:name="z601" w:id="33"/>
    <w:p>
      <w:pPr>
        <w:spacing w:after="0"/>
        <w:ind w:left="0"/>
        <w:jc w:val="both"/>
      </w:pPr>
      <w:r>
        <w:rPr>
          <w:rFonts w:ascii="Times New Roman"/>
          <w:b w:val="false"/>
          <w:i w:val="false"/>
          <w:color w:val="000000"/>
          <w:sz w:val="28"/>
        </w:rPr>
        <w:t>
      1) тридцать процентов стоимости чистых активов для открытого или интервального паевого инвестиционного фонда;</w:t>
      </w:r>
    </w:p>
    <w:bookmarkEnd w:id="33"/>
    <w:bookmarkStart w:name="z602" w:id="34"/>
    <w:p>
      <w:pPr>
        <w:spacing w:after="0"/>
        <w:ind w:left="0"/>
        <w:jc w:val="both"/>
      </w:pPr>
      <w:r>
        <w:rPr>
          <w:rFonts w:ascii="Times New Roman"/>
          <w:b w:val="false"/>
          <w:i w:val="false"/>
          <w:color w:val="000000"/>
          <w:sz w:val="28"/>
        </w:rPr>
        <w:t>
      2) пятьдесят процентов стоимости чистых активов для акционерного инвестиционного фонда и закрытого паевого инвестиционного фонда.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8-2 в соответствии с постановлением Правления Агентства РК по регулированию и развитию финансового рынка от 12.02.2021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3" w:id="35"/>
    <w:p>
      <w:pPr>
        <w:spacing w:after="0"/>
        <w:ind w:left="0"/>
        <w:jc w:val="both"/>
      </w:pPr>
      <w:r>
        <w:rPr>
          <w:rFonts w:ascii="Times New Roman"/>
          <w:b w:val="false"/>
          <w:i w:val="false"/>
          <w:color w:val="000000"/>
          <w:sz w:val="28"/>
        </w:rPr>
        <w:t xml:space="preserve">
      8-3. Суммарные размеры инвестиций за счет активов инвестиционных фондов в финансовые инструменты, указанные в </w:t>
      </w:r>
      <w:r>
        <w:rPr>
          <w:rFonts w:ascii="Times New Roman"/>
          <w:b w:val="false"/>
          <w:i w:val="false"/>
          <w:color w:val="000000"/>
          <w:sz w:val="28"/>
        </w:rPr>
        <w:t>пунктах 8-1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Правил, не превышают сто процентов от стоимости активов инвестиционного фонда рискового инвестирования и двадцати процентов от стоимости чистых активов фонда недвижимости.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8-3 в соответствии с постановлением Правления Агентства РК по регулированию и развитию финансового рынка от 12.02.2021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6" w:id="36"/>
    <w:p>
      <w:pPr>
        <w:spacing w:after="0"/>
        <w:ind w:left="0"/>
        <w:jc w:val="both"/>
      </w:pPr>
      <w:r>
        <w:rPr>
          <w:rFonts w:ascii="Times New Roman"/>
          <w:b w:val="false"/>
          <w:i w:val="false"/>
          <w:color w:val="000000"/>
          <w:sz w:val="28"/>
        </w:rPr>
        <w:t>
      8-4. Суммарные размеры инвестиций за счет активов биржевого паевого инвестиционного фонда (Exchange Traded Fund) (ETF) (Эксчейндж Трэйдэд Фанд) в финансовые инструменты, указанные в пунктах 8-1 и 8-2 Правил, устанавливаются инвестиционной декларацией инвестиционного фонда.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8-4 в соответствии с постановлением Правления Агентства РК по регулированию и развитию финансового рынка от 31.12.2025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37"/>
    <w:p>
      <w:pPr>
        <w:spacing w:after="0"/>
        <w:ind w:left="0"/>
        <w:jc w:val="both"/>
      </w:pPr>
      <w:r>
        <w:rPr>
          <w:rFonts w:ascii="Times New Roman"/>
          <w:b w:val="false"/>
          <w:i w:val="false"/>
          <w:color w:val="000000"/>
          <w:sz w:val="28"/>
        </w:rPr>
        <w:t>
      9. Управляющая компания в процессе управления активами инвестиционных фондов (за исключением инвестиционных фондов рискового инвестирования) не принимает инвестиционных решений, предполагающих:</w:t>
      </w:r>
    </w:p>
    <w:bookmarkEnd w:id="37"/>
    <w:bookmarkStart w:name="z31" w:id="38"/>
    <w:p>
      <w:pPr>
        <w:spacing w:after="0"/>
        <w:ind w:left="0"/>
        <w:jc w:val="both"/>
      </w:pPr>
      <w:r>
        <w:rPr>
          <w:rFonts w:ascii="Times New Roman"/>
          <w:b w:val="false"/>
          <w:i w:val="false"/>
          <w:color w:val="000000"/>
          <w:sz w:val="28"/>
        </w:rPr>
        <w:t>
      1) приобретение финансовых инструментов за счет активов акционерного инвестиционного фонда, а также открытого и интервального паевого инвестиционного фонда, по которым эмитентом допущен дефолт за исключением обмена (конвертирования) ценных бумаг и иных обязательств эмитента на ценные бумаги данного эмитента, выпущенные в целях реструктуризации обязательств эмитента) либо приостановлены торги фондовой биржей;</w:t>
      </w:r>
    </w:p>
    <w:bookmarkEnd w:id="38"/>
    <w:bookmarkStart w:name="z32" w:id="39"/>
    <w:p>
      <w:pPr>
        <w:spacing w:after="0"/>
        <w:ind w:left="0"/>
        <w:jc w:val="both"/>
      </w:pPr>
      <w:r>
        <w:rPr>
          <w:rFonts w:ascii="Times New Roman"/>
          <w:b w:val="false"/>
          <w:i w:val="false"/>
          <w:color w:val="000000"/>
          <w:sz w:val="28"/>
        </w:rPr>
        <w:t>
      2) заключение сделок с финансовыми инструментами на неорганизованном рынке, условиями которых предусматривается обязательство обратного выкупа либо обратной продажи финансовых инструментов, являющихся предметом сделки;</w:t>
      </w:r>
    </w:p>
    <w:bookmarkEnd w:id="39"/>
    <w:bookmarkStart w:name="z33" w:id="40"/>
    <w:p>
      <w:pPr>
        <w:spacing w:after="0"/>
        <w:ind w:left="0"/>
        <w:jc w:val="both"/>
      </w:pPr>
      <w:r>
        <w:rPr>
          <w:rFonts w:ascii="Times New Roman"/>
          <w:b w:val="false"/>
          <w:i w:val="false"/>
          <w:color w:val="000000"/>
          <w:sz w:val="28"/>
        </w:rPr>
        <w:t>
      3) участие активами открытых или интервальных паевых инвестиционных фондов в простых товариществах;</w:t>
      </w:r>
    </w:p>
    <w:bookmarkEnd w:id="40"/>
    <w:bookmarkStart w:name="z34" w:id="41"/>
    <w:p>
      <w:pPr>
        <w:spacing w:after="0"/>
        <w:ind w:left="0"/>
        <w:jc w:val="both"/>
      </w:pPr>
      <w:r>
        <w:rPr>
          <w:rFonts w:ascii="Times New Roman"/>
          <w:b w:val="false"/>
          <w:i w:val="false"/>
          <w:color w:val="000000"/>
          <w:sz w:val="28"/>
        </w:rPr>
        <w:t>
      4) приобретение долей участия в хозяйственных товариществах, имеющих отрицательный собственный капитал на дату принятия инвестиционного решения;</w:t>
      </w:r>
    </w:p>
    <w:bookmarkEnd w:id="41"/>
    <w:bookmarkStart w:name="z35" w:id="42"/>
    <w:p>
      <w:pPr>
        <w:spacing w:after="0"/>
        <w:ind w:left="0"/>
        <w:jc w:val="both"/>
      </w:pPr>
      <w:r>
        <w:rPr>
          <w:rFonts w:ascii="Times New Roman"/>
          <w:b w:val="false"/>
          <w:i w:val="false"/>
          <w:color w:val="000000"/>
          <w:sz w:val="28"/>
        </w:rPr>
        <w:t>
      5) приобретение финансовых инструментов, выпущенных (предоставленных) юридическими лицами, более пятидесяти процентов активов которых являются предметом судебного разбирательства.</w:t>
      </w:r>
    </w:p>
    <w:bookmarkEnd w:id="42"/>
    <w:bookmarkStart w:name="z36" w:id="43"/>
    <w:p>
      <w:pPr>
        <w:spacing w:after="0"/>
        <w:ind w:left="0"/>
        <w:jc w:val="both"/>
      </w:pPr>
      <w:r>
        <w:rPr>
          <w:rFonts w:ascii="Times New Roman"/>
          <w:b w:val="false"/>
          <w:i w:val="false"/>
          <w:color w:val="000000"/>
          <w:sz w:val="28"/>
        </w:rPr>
        <w:t>
      10. Сделки за счет активов инвестиционного фонда совершаются на международных (иностранных) рынках ценных бумаг при соблюдении следующих условий:</w:t>
      </w:r>
    </w:p>
    <w:bookmarkEnd w:id="43"/>
    <w:p>
      <w:pPr>
        <w:spacing w:after="0"/>
        <w:ind w:left="0"/>
        <w:jc w:val="both"/>
      </w:pPr>
      <w:r>
        <w:rPr>
          <w:rFonts w:ascii="Times New Roman"/>
          <w:b w:val="false"/>
          <w:i w:val="false"/>
          <w:color w:val="000000"/>
          <w:sz w:val="28"/>
        </w:rPr>
        <w:t>
      1) сделка по покупке акций (депозитарных расписок, базовым активом которых являются акции) заключается по цене, не превышающей максимального значения цены по данному финансовому инструменту, сложившейся в день заключения сделки на международных (иностранных) фондовых биржах, на которых обращается данный финансовый инструмент, согласно информации, представленной в информационных аналитических системах Bloomberg или Reuters;</w:t>
      </w:r>
    </w:p>
    <w:p>
      <w:pPr>
        <w:spacing w:after="0"/>
        <w:ind w:left="0"/>
        <w:jc w:val="both"/>
      </w:pPr>
      <w:r>
        <w:rPr>
          <w:rFonts w:ascii="Times New Roman"/>
          <w:b w:val="false"/>
          <w:i w:val="false"/>
          <w:color w:val="000000"/>
          <w:sz w:val="28"/>
        </w:rPr>
        <w:t>
      2) сделка по продаже акций (депозитарных расписок, базовым активом которых являются акции) заключается по цене не ниже минимального значения цены по данному финансовому инструменту, сложившейся в день заключения сделки на международных (иностранных) фондовых биржах, на которых обращаются данные финансовые инструменты, согласно информации, представленной в информационных аналитических системах Bloomberg или Reuters;</w:t>
      </w:r>
    </w:p>
    <w:p>
      <w:pPr>
        <w:spacing w:after="0"/>
        <w:ind w:left="0"/>
        <w:jc w:val="both"/>
      </w:pPr>
      <w:r>
        <w:rPr>
          <w:rFonts w:ascii="Times New Roman"/>
          <w:b w:val="false"/>
          <w:i w:val="false"/>
          <w:color w:val="000000"/>
          <w:sz w:val="28"/>
        </w:rPr>
        <w:t>
      3) по долговым ценным бумагам, за исключением principal protected notes, а также по производным финансовым инструментам имеется распечатка котировок на покупку и (или) продажу с информационных аналитических систем Bloomberg или Reuters, либо в случае отсутствия таких котировок имеется не менее трех котировок от трех различных контрпартнеров. При отсутствии от контрпартнера ценовых предложений по данному финансовому инструменту, сообщение контрпартнера об отсутствии котировок или отказе в котировании финансового инструмента включается в отчет (документ) о заключении сделки.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Правления Национального Банка РК от 28.10.2016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44"/>
    <w:p>
      <w:pPr>
        <w:spacing w:after="0"/>
        <w:ind w:left="0"/>
        <w:jc w:val="both"/>
      </w:pPr>
      <w:r>
        <w:rPr>
          <w:rFonts w:ascii="Times New Roman"/>
          <w:b w:val="false"/>
          <w:i w:val="false"/>
          <w:color w:val="000000"/>
          <w:sz w:val="28"/>
        </w:rPr>
        <w:t>
       11. При приобретении за счет активов инвестиционного фонда principal protected notes расчеты осуществляются по принципу "поставка против платежа".</w:t>
      </w:r>
    </w:p>
    <w:bookmarkEnd w:id="44"/>
    <w:bookmarkStart w:name="z42" w:id="45"/>
    <w:p>
      <w:pPr>
        <w:spacing w:after="0"/>
        <w:ind w:left="0"/>
        <w:jc w:val="both"/>
      </w:pPr>
      <w:r>
        <w:rPr>
          <w:rFonts w:ascii="Times New Roman"/>
          <w:b w:val="false"/>
          <w:i w:val="false"/>
          <w:color w:val="000000"/>
          <w:sz w:val="28"/>
        </w:rPr>
        <w:t>
      12. Приобретение управляющей компанией имущества за счет активов инвестиционного фонда осуществляется путем оформления документов, устанавливающих право собственности инвестиционного фонда в отношении приобретаемого имущества.</w:t>
      </w:r>
    </w:p>
    <w:bookmarkEnd w:id="45"/>
    <w:bookmarkStart w:name="z43" w:id="46"/>
    <w:p>
      <w:pPr>
        <w:spacing w:after="0"/>
        <w:ind w:left="0"/>
        <w:jc w:val="both"/>
      </w:pPr>
      <w:r>
        <w:rPr>
          <w:rFonts w:ascii="Times New Roman"/>
          <w:b w:val="false"/>
          <w:i w:val="false"/>
          <w:color w:val="000000"/>
          <w:sz w:val="28"/>
        </w:rPr>
        <w:t>
      13. При возникновении обстоятельств, независящих от действий управляющей компании, повлекших несоответствие структуры активов инвестиционного фонда условиям, установленным настоящими Правилами и (или) инвестиционной декларацией, управляющая компания прекращает инвестиционную деятельность, связанную с таким несоответствием, и в течение одного рабочего дня сообщает в уполномоченный орган о факте и причинах данного несоответствия с приложением плана мероприятий по его устранению с указанием наименования мероприятий, руководящих работников управляющей компании, ответственных за их исполнение, и сроков исполнения.</w:t>
      </w:r>
    </w:p>
    <w:bookmarkEnd w:id="46"/>
    <w:bookmarkStart w:name="z44" w:id="47"/>
    <w:p>
      <w:pPr>
        <w:spacing w:after="0"/>
        <w:ind w:left="0"/>
        <w:jc w:val="both"/>
      </w:pPr>
      <w:r>
        <w:rPr>
          <w:rFonts w:ascii="Times New Roman"/>
          <w:b w:val="false"/>
          <w:i w:val="false"/>
          <w:color w:val="000000"/>
          <w:sz w:val="28"/>
        </w:rPr>
        <w:t>
      Уполномоченный орган рассматривает план мероприятий в течение пяти рабочих дней. При одобрении плана мероприятий уполномоченным органом управляющая компания приступает к его реализации и представляет в уполномоченный орган отчеты о выполнении мероприятий не позднее пяти рабочих дней по истечению сроков исполнения мероприятий, установленных планом мероприятий. При получении замечаний уполномоченного органа к плану мероприятий управляющая компания представляет в уполномоченный орган откорректированный план мероприятий не позднее пяти рабочих дней с даты получения письма уполномоченного органа о результатах рассмотрения плана мероприятий.</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постановлениями Правления Национального Банка РК от 19.12.2015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31.12.2019 </w:t>
      </w:r>
      <w:r>
        <w:rPr>
          <w:rFonts w:ascii="Times New Roman"/>
          <w:b w:val="false"/>
          <w:i w:val="false"/>
          <w:color w:val="000000"/>
          <w:sz w:val="28"/>
        </w:rPr>
        <w:t>№ 262</w:t>
      </w:r>
      <w:r>
        <w:rPr>
          <w:rFonts w:ascii="Times New Roman"/>
          <w:b w:val="false"/>
          <w:i w:val="false"/>
          <w:color w:val="ff0000"/>
          <w:sz w:val="28"/>
        </w:rPr>
        <w:t xml:space="preserve"> (вводится в действие c 01.01.2020).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2012 года № 60</w:t>
            </w:r>
          </w:p>
        </w:tc>
      </w:tr>
    </w:tbl>
    <w:bookmarkStart w:name="z46" w:id="48"/>
    <w:p>
      <w:pPr>
        <w:spacing w:after="0"/>
        <w:ind w:left="0"/>
        <w:jc w:val="left"/>
      </w:pPr>
      <w:r>
        <w:rPr>
          <w:rFonts w:ascii="Times New Roman"/>
          <w:b/>
          <w:i w:val="false"/>
          <w:color w:val="000000"/>
        </w:rPr>
        <w:t xml:space="preserve"> Перечень финансовых инструментов, которые могут входить в состав активов акционерных и паевых инвестиционных фондов</w:t>
      </w:r>
    </w:p>
    <w:bookmarkEnd w:id="48"/>
    <w:p>
      <w:pPr>
        <w:spacing w:after="0"/>
        <w:ind w:left="0"/>
        <w:jc w:val="both"/>
      </w:pPr>
      <w:r>
        <w:rPr>
          <w:rFonts w:ascii="Times New Roman"/>
          <w:b w:val="false"/>
          <w:i w:val="false"/>
          <w:color w:val="ff0000"/>
          <w:sz w:val="28"/>
        </w:rPr>
        <w:t xml:space="preserve">
      Сноска. Перечень - в редакции постановления Правления Агентства РК по регулированию и развитию финансового рынка от 22.12.2023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3" w:id="49"/>
    <w:p>
      <w:pPr>
        <w:spacing w:after="0"/>
        <w:ind w:left="0"/>
        <w:jc w:val="both"/>
      </w:pPr>
      <w:r>
        <w:rPr>
          <w:rFonts w:ascii="Times New Roman"/>
          <w:b w:val="false"/>
          <w:i w:val="false"/>
          <w:color w:val="000000"/>
          <w:sz w:val="28"/>
        </w:rPr>
        <w:t>
      1. Перечень финансовых инструментов, в которые управляющая компания инвестирует находящиеся в инвестиционном управлении активы каждого отдельного открытого либо интервального паевого инвестиционного фонда, и требования, предъявляемые к ним:</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инструмента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иностранных государств), выпущенные Министерством финансов Республики Казахстан и Национальным Банком Республики Казахстан, а также ценные бумаги, выпущенные под гарантию Правительства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выпущенные местными исполнительными органами Республики Казахстан, включенные в официальный список фондовой биржи и (или) допущенные к публичным торгам на фондовой бирже, функционирующей на территории Международного Финансового Центра "Астана"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 и его дочерними организациями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соответствии одному из следующих условий:</w:t>
            </w:r>
          </w:p>
          <w:p>
            <w:pPr>
              <w:spacing w:after="20"/>
              <w:ind w:left="20"/>
              <w:jc w:val="both"/>
            </w:pPr>
            <w:r>
              <w:rPr>
                <w:rFonts w:ascii="Times New Roman"/>
                <w:b w:val="false"/>
                <w:i w:val="false"/>
                <w:color w:val="000000"/>
                <w:sz w:val="20"/>
              </w:rPr>
              <w:t>банки имеют долгосрочный кредитный рейтинг не ниже "В-" по международной шкале агентства Standard &amp; Poor's (Стандард энд Пурс), или рейтинговую оценку аналогичного уровня одного из других рейтинговых агентств, или рейтинговую оценку не ниже "kzВB-" по национальной шкале Standard &amp; Poor's (Стандард энд Пурс),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банки являются дочерними банками-резидентами, родительский банк-нерезидент которых имеет долгосрочный кредитный рейтинг по международной шкале агентства Standard &amp; Poor’s (Стандард энд Пурс) не ниже "А-"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организациями Республики Казахстан в соответствии с законодательством Республики Казахстан или иностранных государств:</w:t>
            </w:r>
          </w:p>
          <w:p>
            <w:pPr>
              <w:spacing w:after="20"/>
              <w:ind w:left="20"/>
              <w:jc w:val="both"/>
            </w:pPr>
            <w:r>
              <w:rPr>
                <w:rFonts w:ascii="Times New Roman"/>
                <w:b w:val="false"/>
                <w:i w:val="false"/>
                <w:color w:val="000000"/>
                <w:sz w:val="20"/>
              </w:rPr>
              <w:t>акции эмитентов, имеющих рейтинговую оценку не ниже "В-" по международной шкале агентства Standard &amp; Poor's (Стандард энд Пурс) или рейтинговую оценку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и (или) акции, включенные в официальный список фондовой биржи, соответствующие требованиям секторов "акции" официального списка фондовой биржи и (или) акции эмитентов, допущенные к публичным торгам на фондовой бирже, функционирующей на территории Международного Финансового Центра "Астана";</w:t>
            </w:r>
          </w:p>
          <w:p>
            <w:pPr>
              <w:spacing w:after="20"/>
              <w:ind w:left="20"/>
              <w:jc w:val="both"/>
            </w:pPr>
            <w:r>
              <w:rPr>
                <w:rFonts w:ascii="Times New Roman"/>
                <w:b w:val="false"/>
                <w:i w:val="false"/>
                <w:color w:val="000000"/>
                <w:sz w:val="20"/>
              </w:rPr>
              <w:t>долговые ценные бумаги, имеющие рейтинговую оценку не ниже "В-" по международной шкале агентства Standard &amp; Poor's (Стандард энд Пурс) или рейтинговую оценку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или долговые ценные бумаги, включенные в официальный список фондовой биржи, соответствующие требованиям секторов "долговые ценные бумаги" официального списка фондовой биржи и (или) долговые ценные бумаги, допущенные к публичным торгам на фондовой бирже, функционирующей на территории Международного Финансового Центра "Астана";</w:t>
            </w:r>
          </w:p>
          <w:p>
            <w:pPr>
              <w:spacing w:after="20"/>
              <w:ind w:left="20"/>
              <w:jc w:val="both"/>
            </w:pPr>
            <w:r>
              <w:rPr>
                <w:rFonts w:ascii="Times New Roman"/>
                <w:b w:val="false"/>
                <w:i w:val="false"/>
                <w:color w:val="000000"/>
                <w:sz w:val="20"/>
              </w:rPr>
              <w:t>инфраструктурные облигации организаций Республики Казахстан, включенные в официальный список фондовой биржи и (или) инфраструктурные облигации организаций Республики Казахстан, допущенные к публичным торгам на фондовой бирже, функционирующей на территории Международного Финансового Центра "Астана";</w:t>
            </w:r>
          </w:p>
          <w:p>
            <w:pPr>
              <w:spacing w:after="20"/>
              <w:ind w:left="20"/>
              <w:jc w:val="both"/>
            </w:pPr>
            <w:r>
              <w:rPr>
                <w:rFonts w:ascii="Times New Roman"/>
                <w:b w:val="false"/>
                <w:i w:val="false"/>
                <w:color w:val="000000"/>
                <w:sz w:val="20"/>
              </w:rPr>
              <w:t>паи интервальных паевых инвестиционных фондов, управляющая компания которых является юридическим лицом, созданным в соответствии с законодательством Республики Казахстан (за исключением паевых инвестиционных фондов, управляющей компанией которых является управляющая компания паевого инвестиционного фонда, за счет активов которого приобретаются данные паи), включенные в официальный список фондовой биржи и (или) допущенные к публичным торгам на фондовой бирже, функционирующей на территории Международного Финансового Центра "Астана";</w:t>
            </w:r>
          </w:p>
          <w:p>
            <w:pPr>
              <w:spacing w:after="20"/>
              <w:ind w:left="20"/>
              <w:jc w:val="both"/>
            </w:pPr>
            <w:r>
              <w:rPr>
                <w:rFonts w:ascii="Times New Roman"/>
                <w:b w:val="false"/>
                <w:i w:val="false"/>
                <w:color w:val="000000"/>
                <w:sz w:val="20"/>
              </w:rPr>
              <w:t>ценные бумаги, выпущенные в рамках реструктуризации обязательств эмитента в целях обмена на ранее выпущенные ценные бумаги либо иные обязательства данного эмитента.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указанные в строках 5, 12, 13 настоящего пункта, либо базовым активом которых являются ценные бумаги эмитентов, имеющих рейтинговую оценку в иностранной валюте по международной шкале кредитного рейтинга не ниже "В-" по международной шкале агентства Standard &amp; Poor's (Стандард энд Пурс)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 стран,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(Лондон биллион маркет асоциэйшн) и обозначенным в документах данной ассоциации как стандарт "Лондонская качественная поставка" ("London good delivery") ("Лондон гуд деливери") и металлические депозиты, в том числе, в банках-нерезидентах Республики Казахстан, обладающих рейтинговой оценкой не ниже "А-" по международной шкале агентства Standard &amp; Poor's (Стандард энд Пурс) или рейтинг аналогичного уровня одного из других рейтинговых агентств, на срок не более двенадцати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следующими международными финансовыми организациями: Азиатским банком развития;</w:t>
            </w:r>
          </w:p>
          <w:p>
            <w:pPr>
              <w:spacing w:after="20"/>
              <w:ind w:left="20"/>
              <w:jc w:val="both"/>
            </w:pPr>
            <w:r>
              <w:rPr>
                <w:rFonts w:ascii="Times New Roman"/>
                <w:b w:val="false"/>
                <w:i w:val="false"/>
                <w:color w:val="000000"/>
                <w:sz w:val="20"/>
              </w:rPr>
              <w:t>Африканским банком развития;</w:t>
            </w:r>
          </w:p>
          <w:p>
            <w:pPr>
              <w:spacing w:after="20"/>
              <w:ind w:left="20"/>
              <w:jc w:val="both"/>
            </w:pPr>
            <w:r>
              <w:rPr>
                <w:rFonts w:ascii="Times New Roman"/>
                <w:b w:val="false"/>
                <w:i w:val="false"/>
                <w:color w:val="000000"/>
                <w:sz w:val="20"/>
              </w:rPr>
              <w:t>Банком международных расчетов;</w:t>
            </w:r>
          </w:p>
          <w:p>
            <w:pPr>
              <w:spacing w:after="20"/>
              <w:ind w:left="20"/>
              <w:jc w:val="both"/>
            </w:pPr>
            <w:r>
              <w:rPr>
                <w:rFonts w:ascii="Times New Roman"/>
                <w:b w:val="false"/>
                <w:i w:val="false"/>
                <w:color w:val="000000"/>
                <w:sz w:val="20"/>
              </w:rPr>
              <w:t>Евразийским банком развития;</w:t>
            </w:r>
          </w:p>
          <w:p>
            <w:pPr>
              <w:spacing w:after="20"/>
              <w:ind w:left="20"/>
              <w:jc w:val="both"/>
            </w:pPr>
            <w:r>
              <w:rPr>
                <w:rFonts w:ascii="Times New Roman"/>
                <w:b w:val="false"/>
                <w:i w:val="false"/>
                <w:color w:val="000000"/>
                <w:sz w:val="20"/>
              </w:rPr>
              <w:t>Европейским инвестиционным банком;</w:t>
            </w:r>
          </w:p>
          <w:p>
            <w:pPr>
              <w:spacing w:after="20"/>
              <w:ind w:left="20"/>
              <w:jc w:val="both"/>
            </w:pPr>
            <w:r>
              <w:rPr>
                <w:rFonts w:ascii="Times New Roman"/>
                <w:b w:val="false"/>
                <w:i w:val="false"/>
                <w:color w:val="000000"/>
                <w:sz w:val="20"/>
              </w:rPr>
              <w:t>Европейским банком реконструкции и развития;</w:t>
            </w:r>
          </w:p>
          <w:p>
            <w:pPr>
              <w:spacing w:after="20"/>
              <w:ind w:left="20"/>
              <w:jc w:val="both"/>
            </w:pPr>
            <w:r>
              <w:rPr>
                <w:rFonts w:ascii="Times New Roman"/>
                <w:b w:val="false"/>
                <w:i w:val="false"/>
                <w:color w:val="000000"/>
                <w:sz w:val="20"/>
              </w:rPr>
              <w:t>Исламским банком развития;</w:t>
            </w:r>
          </w:p>
          <w:p>
            <w:pPr>
              <w:spacing w:after="20"/>
              <w:ind w:left="20"/>
              <w:jc w:val="both"/>
            </w:pPr>
            <w:r>
              <w:rPr>
                <w:rFonts w:ascii="Times New Roman"/>
                <w:b w:val="false"/>
                <w:i w:val="false"/>
                <w:color w:val="000000"/>
                <w:sz w:val="20"/>
              </w:rPr>
              <w:t>Межамериканским банком развития;</w:t>
            </w:r>
          </w:p>
          <w:p>
            <w:pPr>
              <w:spacing w:after="20"/>
              <w:ind w:left="20"/>
              <w:jc w:val="both"/>
            </w:pPr>
            <w:r>
              <w:rPr>
                <w:rFonts w:ascii="Times New Roman"/>
                <w:b w:val="false"/>
                <w:i w:val="false"/>
                <w:color w:val="000000"/>
                <w:sz w:val="20"/>
              </w:rPr>
              <w:t>Международным банком реконструкции и развития;</w:t>
            </w:r>
          </w:p>
          <w:p>
            <w:pPr>
              <w:spacing w:after="20"/>
              <w:ind w:left="20"/>
              <w:jc w:val="both"/>
            </w:pPr>
            <w:r>
              <w:rPr>
                <w:rFonts w:ascii="Times New Roman"/>
                <w:b w:val="false"/>
                <w:i w:val="false"/>
                <w:color w:val="000000"/>
                <w:sz w:val="20"/>
              </w:rPr>
              <w:t>Международной финансовой корпорацией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 долговые ценные бумаги, имеющие рейтинговую оценку не ниже "ВВ-" по международной шкале агентства Standard &amp; Poor's (Стандард энд Пурс) или рейтинговую оценку аналогичного уровня одного из других рейтинговых агентств и (или) долговые ценные бумаги, включенные в список фондовой биржи, функционирующей на территории иностранного государства, признаваемой фондовой биржей, функционирующей на территории Республики Казахстан;</w:t>
            </w:r>
          </w:p>
          <w:p>
            <w:pPr>
              <w:spacing w:after="20"/>
              <w:ind w:left="20"/>
              <w:jc w:val="both"/>
            </w:pPr>
            <w:r>
              <w:rPr>
                <w:rFonts w:ascii="Times New Roman"/>
                <w:b w:val="false"/>
                <w:i w:val="false"/>
                <w:color w:val="000000"/>
                <w:sz w:val="20"/>
              </w:rPr>
              <w:t>акции, выпущенные иностранными организациями, имеющими рейтинговую оценку не ниже "ВВ-" по международной шкале агентства Standard &amp; Poor's (Стандард энд Пурс) или рейтинговую оценку аналогичного уровня одного из других рейтинговых агентств и (или) акции, включенные в список фондовой биржи, функционирующей на территории иностранного государства, признаваемой фондовой биржей, функционирующей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 признаваемыми резидентами Республики Казахстан, включенные в официальный список фондовой биржи, функционирующей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 protected notes (Принципл протектед ноутс), выпущенные организациями, имеющими рейтинговую оценку не ниже "А-" по международной шкале агентства Standard &amp; Poor’s (Стандард энд Пурс) или рейтинговую оценку аналогичного уровня одного из других рейтинговых агентств, которые соответствуют следующим условиям:</w:t>
            </w:r>
          </w:p>
          <w:p>
            <w:pPr>
              <w:spacing w:after="20"/>
              <w:ind w:left="20"/>
              <w:jc w:val="both"/>
            </w:pPr>
            <w:r>
              <w:rPr>
                <w:rFonts w:ascii="Times New Roman"/>
                <w:b w:val="false"/>
                <w:i w:val="false"/>
                <w:color w:val="000000"/>
                <w:sz w:val="20"/>
              </w:rPr>
              <w:t>
срок обращения не превышает пяти лет;</w:t>
            </w:r>
          </w:p>
          <w:p>
            <w:pPr>
              <w:spacing w:after="20"/>
              <w:ind w:left="20"/>
              <w:jc w:val="both"/>
            </w:pPr>
            <w:r>
              <w:rPr>
                <w:rFonts w:ascii="Times New Roman"/>
                <w:b w:val="false"/>
                <w:i w:val="false"/>
                <w:color w:val="000000"/>
                <w:sz w:val="20"/>
              </w:rPr>
              <w:t>условиями выпуска principal protected notes (принципл протектед ноутс) не предусмотрены случаи дефолта какого-либо государства, эмитента по своим обязательствам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кредитный рейтинг не ниже "А-" по международной шкале агентства Standard &amp; Poor's (Стандард энд Пурс)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(фьючерсы, опционы, свопы, форварды), заключенные в целях хеджирования, базовым активом которых являются финансовые инструменты, которые входят в состав активов открытого и интервального паевых инвестиционных фондов, иностранная валюта, а также следующие расчетные показатели (индексы):</w:t>
            </w:r>
          </w:p>
          <w:p>
            <w:pPr>
              <w:spacing w:after="20"/>
              <w:ind w:left="20"/>
              <w:jc w:val="both"/>
            </w:pPr>
            <w:r>
              <w:rPr>
                <w:rFonts w:ascii="Times New Roman"/>
                <w:b w:val="false"/>
                <w:i w:val="false"/>
                <w:color w:val="000000"/>
                <w:sz w:val="20"/>
              </w:rPr>
              <w:t>AIX (Astana International Exchange) (Астана Интернейшнл Эксчейндж);</w:t>
            </w:r>
          </w:p>
          <w:p>
            <w:pPr>
              <w:spacing w:after="20"/>
              <w:ind w:left="20"/>
              <w:jc w:val="both"/>
            </w:pPr>
            <w:r>
              <w:rPr>
                <w:rFonts w:ascii="Times New Roman"/>
                <w:b w:val="false"/>
                <w:i w:val="false"/>
                <w:color w:val="000000"/>
                <w:sz w:val="20"/>
              </w:rPr>
              <w:t>САС 40 (Compagnie des Agents de Change 40 Index) (Компани дэ Эжон дэ Шанж 40 Индекс);</w:t>
            </w:r>
          </w:p>
          <w:p>
            <w:pPr>
              <w:spacing w:after="20"/>
              <w:ind w:left="20"/>
              <w:jc w:val="both"/>
            </w:pPr>
            <w:r>
              <w:rPr>
                <w:rFonts w:ascii="Times New Roman"/>
                <w:b w:val="false"/>
                <w:i w:val="false"/>
                <w:color w:val="000000"/>
                <w:sz w:val="20"/>
              </w:rPr>
              <w:t>DAX (Deutscher Aktienindex) (Дойтче Акциениндекс);</w:t>
            </w:r>
          </w:p>
          <w:p>
            <w:pPr>
              <w:spacing w:after="20"/>
              <w:ind w:left="20"/>
              <w:jc w:val="both"/>
            </w:pPr>
            <w:r>
              <w:rPr>
                <w:rFonts w:ascii="Times New Roman"/>
                <w:b w:val="false"/>
                <w:i w:val="false"/>
                <w:color w:val="000000"/>
                <w:sz w:val="20"/>
              </w:rPr>
              <w:t>DJIA (Dow Jones Industrial Average) (Доу Джонс Индастриал Эвередж);</w:t>
            </w:r>
          </w:p>
          <w:p>
            <w:pPr>
              <w:spacing w:after="20"/>
              <w:ind w:left="20"/>
              <w:jc w:val="both"/>
            </w:pPr>
            <w:r>
              <w:rPr>
                <w:rFonts w:ascii="Times New Roman"/>
                <w:b w:val="false"/>
                <w:i w:val="false"/>
                <w:color w:val="000000"/>
                <w:sz w:val="20"/>
              </w:rPr>
              <w:t>EURO STOXX 50 (EURO STOXX 50 Price Index) (Юроп Эс Ти Оу Экс Экс 50 Прайс Индекс);</w:t>
            </w:r>
          </w:p>
          <w:p>
            <w:pPr>
              <w:spacing w:after="20"/>
              <w:ind w:left="20"/>
              <w:jc w:val="both"/>
            </w:pPr>
            <w:r>
              <w:rPr>
                <w:rFonts w:ascii="Times New Roman"/>
                <w:b w:val="false"/>
                <w:i w:val="false"/>
                <w:color w:val="000000"/>
                <w:sz w:val="20"/>
              </w:rPr>
              <w:t>FTSE 100 (Financial Times Stock Exchange 100 Index) (Файнэншл Таймс Сток Эксчейндж 100 Индекс);</w:t>
            </w:r>
          </w:p>
          <w:p>
            <w:pPr>
              <w:spacing w:after="20"/>
              <w:ind w:left="20"/>
              <w:jc w:val="both"/>
            </w:pPr>
            <w:r>
              <w:rPr>
                <w:rFonts w:ascii="Times New Roman"/>
                <w:b w:val="false"/>
                <w:i w:val="false"/>
                <w:color w:val="000000"/>
                <w:sz w:val="20"/>
              </w:rPr>
              <w:t>HSI (Hang Seng Index) (Ханг Сенг Индекс);</w:t>
            </w:r>
          </w:p>
          <w:p>
            <w:pPr>
              <w:spacing w:after="20"/>
              <w:ind w:left="20"/>
              <w:jc w:val="both"/>
            </w:pPr>
            <w:r>
              <w:rPr>
                <w:rFonts w:ascii="Times New Roman"/>
                <w:b w:val="false"/>
                <w:i w:val="false"/>
                <w:color w:val="000000"/>
                <w:sz w:val="20"/>
              </w:rPr>
              <w:t>KASE (Kazakhstan Stock Exchange Index) (Казахстан Сток Эксчейндж Индекс);</w:t>
            </w:r>
          </w:p>
          <w:p>
            <w:pPr>
              <w:spacing w:after="20"/>
              <w:ind w:left="20"/>
              <w:jc w:val="both"/>
            </w:pPr>
            <w:r>
              <w:rPr>
                <w:rFonts w:ascii="Times New Roman"/>
                <w:b w:val="false"/>
                <w:i w:val="false"/>
                <w:color w:val="000000"/>
                <w:sz w:val="20"/>
              </w:rPr>
              <w:t>MSCI World Index (Morgan Stanley Capital International World Index) (Морган Стэнли Кэпитал Интернешнл Ворлд Индекс);</w:t>
            </w:r>
          </w:p>
          <w:p>
            <w:pPr>
              <w:spacing w:after="20"/>
              <w:ind w:left="20"/>
              <w:jc w:val="both"/>
            </w:pPr>
            <w:r>
              <w:rPr>
                <w:rFonts w:ascii="Times New Roman"/>
                <w:b w:val="false"/>
                <w:i w:val="false"/>
                <w:color w:val="000000"/>
                <w:sz w:val="20"/>
              </w:rPr>
              <w:t>MOEX Russia (Moscow Exchange Russia Index) (Москоу Эксчейндж Раша Индекс);</w:t>
            </w:r>
          </w:p>
          <w:p>
            <w:pPr>
              <w:spacing w:after="20"/>
              <w:ind w:left="20"/>
              <w:jc w:val="both"/>
            </w:pPr>
            <w:r>
              <w:rPr>
                <w:rFonts w:ascii="Times New Roman"/>
                <w:b w:val="false"/>
                <w:i w:val="false"/>
                <w:color w:val="000000"/>
                <w:sz w:val="20"/>
              </w:rPr>
              <w:t>NIKKEI 225 (Nikkei-225 Stock Average Index) (Никкэй-225 Сток Эвередж Индекс);</w:t>
            </w:r>
          </w:p>
          <w:p>
            <w:pPr>
              <w:spacing w:after="20"/>
              <w:ind w:left="20"/>
              <w:jc w:val="both"/>
            </w:pPr>
            <w:r>
              <w:rPr>
                <w:rFonts w:ascii="Times New Roman"/>
                <w:b w:val="false"/>
                <w:i w:val="false"/>
                <w:color w:val="000000"/>
                <w:sz w:val="20"/>
              </w:rPr>
              <w:t>RTSI (Russian Trade System Index) (Рашен Трейд Систем Индекс);</w:t>
            </w:r>
          </w:p>
          <w:p>
            <w:pPr>
              <w:spacing w:after="20"/>
              <w:ind w:left="20"/>
              <w:jc w:val="both"/>
            </w:pPr>
            <w:r>
              <w:rPr>
                <w:rFonts w:ascii="Times New Roman"/>
                <w:b w:val="false"/>
                <w:i w:val="false"/>
                <w:color w:val="000000"/>
                <w:sz w:val="20"/>
              </w:rPr>
              <w:t>S&amp;P 500 (Standard and Poor's 500 Index) (Стандард энд Пурс 500 Индекс);</w:t>
            </w:r>
          </w:p>
          <w:p>
            <w:pPr>
              <w:spacing w:after="20"/>
              <w:ind w:left="20"/>
              <w:jc w:val="both"/>
            </w:pPr>
            <w:r>
              <w:rPr>
                <w:rFonts w:ascii="Times New Roman"/>
                <w:b w:val="false"/>
                <w:i w:val="false"/>
                <w:color w:val="000000"/>
                <w:sz w:val="20"/>
              </w:rPr>
              <w:t>TOPIX 100 (Tokyo Stock Price 100 Index) (Токио Сток Прайс 100 Индекс);</w:t>
            </w:r>
          </w:p>
          <w:p>
            <w:pPr>
              <w:spacing w:after="20"/>
              <w:ind w:left="20"/>
              <w:jc w:val="both"/>
            </w:pPr>
            <w:r>
              <w:rPr>
                <w:rFonts w:ascii="Times New Roman"/>
                <w:b w:val="false"/>
                <w:i w:val="false"/>
                <w:color w:val="000000"/>
                <w:sz w:val="20"/>
              </w:rPr>
              <w:t>NASDAQ-100 (Nasdaq-100 Index) (Насдак-100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товариществе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r>
    </w:tbl>
    <w:bookmarkStart w:name="z614" w:id="50"/>
    <w:p>
      <w:pPr>
        <w:spacing w:after="0"/>
        <w:ind w:left="0"/>
        <w:jc w:val="both"/>
      </w:pPr>
      <w:r>
        <w:rPr>
          <w:rFonts w:ascii="Times New Roman"/>
          <w:b w:val="false"/>
          <w:i w:val="false"/>
          <w:color w:val="000000"/>
          <w:sz w:val="28"/>
        </w:rPr>
        <w:t>
      2. Перечень финансовых инструментов, в которые управляющая компания инвестирует находящиеся в инвестиционном управлении активы каждого отдельного фонда недвижимости, и требования, предъявляемые к ним:</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инструмента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 а также ценные бумаги, выпущенные под гарантию Правительства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выпущенные местными исполнительными органами Республики Казахстан, включенные в официальный список фондовой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соответствии одному из следующих условий:</w:t>
            </w:r>
          </w:p>
          <w:p>
            <w:pPr>
              <w:spacing w:after="20"/>
              <w:ind w:left="20"/>
              <w:jc w:val="both"/>
            </w:pPr>
            <w:r>
              <w:rPr>
                <w:rFonts w:ascii="Times New Roman"/>
                <w:b w:val="false"/>
                <w:i w:val="false"/>
                <w:color w:val="000000"/>
                <w:sz w:val="20"/>
              </w:rPr>
              <w:t>банки имеют долгосрочный кредитный рейтинг не ниже "В-" по международной шкале агентства Standard &amp; Poor's (Стандард энд Пурс), или рейтинговую оценку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банки являются дочерними банками-резидентами, родительский банк-нерезидент которых имеет долгосрочный кредитный рейтинг по международной шкале агентства Standard &amp; Poor's (Стандард энд Пурс) не ниже "А-"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при условии их нахождения на дату заключения сделки в представительском списке индекса фондовой биржи, функционирующей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организациями Республики Казахстан в соответствии с законодательством Республики Казахстан или иностранных государств, имеющие рейтинговую оценку не ниже "ВВ-" по международной шкале агентства Standard &amp; Poor's (Стандард энд Пурс) или рейтинговую оценку аналогичного уровня одного из других рейтинговых агентств, или рейтинговую оценку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иностранными организациями, имеющие рейтинговую оценку не ниже "АА-" по международной шкале агентства Standard &amp; Poor’s (Стандард энд Пурс)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выпущенные иностранными организациями, имеющими рейтинговую оценку не ниже "АА-" по международной шкале агентства Standard &amp; Poor’s (Стандард энд Пурс)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следующими международными финансовыми организациями, имеющие рейтинговую оценку не ниже "ВВВ" по международной шкале агентства Standard &amp; Poor's (Стандард энд Пурс), или рейтинговую оценку аналогичного уровня одного из других рейтинговых агентств:</w:t>
            </w:r>
          </w:p>
          <w:p>
            <w:pPr>
              <w:spacing w:after="20"/>
              <w:ind w:left="20"/>
              <w:jc w:val="both"/>
            </w:pPr>
            <w:r>
              <w:rPr>
                <w:rFonts w:ascii="Times New Roman"/>
                <w:b w:val="false"/>
                <w:i w:val="false"/>
                <w:color w:val="000000"/>
                <w:sz w:val="20"/>
              </w:rPr>
              <w:t>Азиатским банком развития;</w:t>
            </w:r>
          </w:p>
          <w:p>
            <w:pPr>
              <w:spacing w:after="20"/>
              <w:ind w:left="20"/>
              <w:jc w:val="both"/>
            </w:pPr>
            <w:r>
              <w:rPr>
                <w:rFonts w:ascii="Times New Roman"/>
                <w:b w:val="false"/>
                <w:i w:val="false"/>
                <w:color w:val="000000"/>
                <w:sz w:val="20"/>
              </w:rPr>
              <w:t>Африканским банком развития;</w:t>
            </w:r>
          </w:p>
          <w:p>
            <w:pPr>
              <w:spacing w:after="20"/>
              <w:ind w:left="20"/>
              <w:jc w:val="both"/>
            </w:pPr>
            <w:r>
              <w:rPr>
                <w:rFonts w:ascii="Times New Roman"/>
                <w:b w:val="false"/>
                <w:i w:val="false"/>
                <w:color w:val="000000"/>
                <w:sz w:val="20"/>
              </w:rPr>
              <w:t>Банком международных расчетов;</w:t>
            </w:r>
          </w:p>
          <w:p>
            <w:pPr>
              <w:spacing w:after="20"/>
              <w:ind w:left="20"/>
              <w:jc w:val="both"/>
            </w:pPr>
            <w:r>
              <w:rPr>
                <w:rFonts w:ascii="Times New Roman"/>
                <w:b w:val="false"/>
                <w:i w:val="false"/>
                <w:color w:val="000000"/>
                <w:sz w:val="20"/>
              </w:rPr>
              <w:t>Евразийским банком развития;</w:t>
            </w:r>
          </w:p>
          <w:p>
            <w:pPr>
              <w:spacing w:after="20"/>
              <w:ind w:left="20"/>
              <w:jc w:val="both"/>
            </w:pPr>
            <w:r>
              <w:rPr>
                <w:rFonts w:ascii="Times New Roman"/>
                <w:b w:val="false"/>
                <w:i w:val="false"/>
                <w:color w:val="000000"/>
                <w:sz w:val="20"/>
              </w:rPr>
              <w:t>Европейским инвестиционным банком;</w:t>
            </w:r>
          </w:p>
          <w:p>
            <w:pPr>
              <w:spacing w:after="20"/>
              <w:ind w:left="20"/>
              <w:jc w:val="both"/>
            </w:pPr>
            <w:r>
              <w:rPr>
                <w:rFonts w:ascii="Times New Roman"/>
                <w:b w:val="false"/>
                <w:i w:val="false"/>
                <w:color w:val="000000"/>
                <w:sz w:val="20"/>
              </w:rPr>
              <w:t>Европейским банком реконструкции и развития;</w:t>
            </w:r>
          </w:p>
          <w:p>
            <w:pPr>
              <w:spacing w:after="20"/>
              <w:ind w:left="20"/>
              <w:jc w:val="both"/>
            </w:pPr>
            <w:r>
              <w:rPr>
                <w:rFonts w:ascii="Times New Roman"/>
                <w:b w:val="false"/>
                <w:i w:val="false"/>
                <w:color w:val="000000"/>
                <w:sz w:val="20"/>
              </w:rPr>
              <w:t>Исламским банком развития;</w:t>
            </w:r>
          </w:p>
          <w:p>
            <w:pPr>
              <w:spacing w:after="20"/>
              <w:ind w:left="20"/>
              <w:jc w:val="both"/>
            </w:pPr>
            <w:r>
              <w:rPr>
                <w:rFonts w:ascii="Times New Roman"/>
                <w:b w:val="false"/>
                <w:i w:val="false"/>
                <w:color w:val="000000"/>
                <w:sz w:val="20"/>
              </w:rPr>
              <w:t>Межамериканским банком развития;</w:t>
            </w:r>
          </w:p>
          <w:p>
            <w:pPr>
              <w:spacing w:after="20"/>
              <w:ind w:left="20"/>
              <w:jc w:val="both"/>
            </w:pPr>
            <w:r>
              <w:rPr>
                <w:rFonts w:ascii="Times New Roman"/>
                <w:b w:val="false"/>
                <w:i w:val="false"/>
                <w:color w:val="000000"/>
                <w:sz w:val="20"/>
              </w:rPr>
              <w:t>Международным банком реконструкции и развития;</w:t>
            </w:r>
          </w:p>
          <w:p>
            <w:pPr>
              <w:spacing w:after="20"/>
              <w:ind w:left="20"/>
              <w:jc w:val="both"/>
            </w:pPr>
            <w:r>
              <w:rPr>
                <w:rFonts w:ascii="Times New Roman"/>
                <w:b w:val="false"/>
                <w:i w:val="false"/>
                <w:color w:val="000000"/>
                <w:sz w:val="20"/>
              </w:rPr>
              <w:t>Международной финансовой корпорацией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выпущенный центральными правительствами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 стран,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(Лондон биллион маркет асоциэйшн) и обозначенным в документах данной ассоциации как стандарт "Лондонская качественная поставка" ("London good delivery") ("Лондон гуд деливери") и металлические депозиты, в том числе, в банках-нерезидентах Республики Казахстан, обладающих рейтинговой оценкой не ниже "А-" по международной шкале агентства Standard &amp; Poor's (Стандард энд Пурс) или рейтинг аналогичного уровня одного из других рейтинговых агентств, на срок не более двенадцати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заключенные в целях хеджирования, базовым активом которых являются финансовые инструменты, разрешенные к приобретению за счет активов фондов недвижимости в соответствии с настоящим Перечнем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юридическом лице, осуществляющем обслуживание имущества, входящего в состав фонда недвижимости</w:t>
            </w:r>
          </w:p>
        </w:tc>
      </w:tr>
    </w:tbl>
    <w:bookmarkStart w:name="z615" w:id="51"/>
    <w:p>
      <w:pPr>
        <w:spacing w:after="0"/>
        <w:ind w:left="0"/>
        <w:jc w:val="both"/>
      </w:pPr>
      <w:r>
        <w:rPr>
          <w:rFonts w:ascii="Times New Roman"/>
          <w:b w:val="false"/>
          <w:i w:val="false"/>
          <w:color w:val="000000"/>
          <w:sz w:val="28"/>
        </w:rPr>
        <w:t>
      3. Перечень финансовых инструментов, в которые управляющая компания инвестирует находящиеся в инвестиционном управлении активы каждого отдельного биржевого паевого инвестиционного фонда (Exchange Traded Fund) (ETF) (Эксчейндж Трэйдэд Фандс), и требования, предъявляемые к ним:</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инструмента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KASE (Kazakhstan Stock Exchange) (Казахстан Сток Эксчейндж)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KZGB (Kazakhstan Government Bonds) (Казахстан Гавемент Бондс)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KASE_BM (Kazakhstan Stock Exchange Bond Market) (Казахстан Сток Эксчейндж Бонд Маркет)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TONIA (Tenge OverNight Index Average) (Тенге ОверНайт Индекс Эвередж)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международных фондовых бирж:</w:t>
            </w:r>
          </w:p>
          <w:p>
            <w:pPr>
              <w:spacing w:after="20"/>
              <w:ind w:left="20"/>
              <w:jc w:val="both"/>
            </w:pPr>
            <w:r>
              <w:rPr>
                <w:rFonts w:ascii="Times New Roman"/>
                <w:b w:val="false"/>
                <w:i w:val="false"/>
                <w:color w:val="000000"/>
                <w:sz w:val="20"/>
              </w:rPr>
              <w:t>САС 40 (Compagnie des Agents de Change 40 Index) (Компани дэ Эжон дэ Шанж 40 Индекс);</w:t>
            </w:r>
          </w:p>
          <w:p>
            <w:pPr>
              <w:spacing w:after="20"/>
              <w:ind w:left="20"/>
              <w:jc w:val="both"/>
            </w:pPr>
            <w:r>
              <w:rPr>
                <w:rFonts w:ascii="Times New Roman"/>
                <w:b w:val="false"/>
                <w:i w:val="false"/>
                <w:color w:val="000000"/>
                <w:sz w:val="20"/>
              </w:rPr>
              <w:t>DAX (Deutscher Aktienindex) (Дойтче Акциениндекс);</w:t>
            </w:r>
          </w:p>
          <w:p>
            <w:pPr>
              <w:spacing w:after="20"/>
              <w:ind w:left="20"/>
              <w:jc w:val="both"/>
            </w:pPr>
            <w:r>
              <w:rPr>
                <w:rFonts w:ascii="Times New Roman"/>
                <w:b w:val="false"/>
                <w:i w:val="false"/>
                <w:color w:val="000000"/>
                <w:sz w:val="20"/>
              </w:rPr>
              <w:t>DJIA (Dow Jones Industrial Average) (Доу Джонс Индастриал Эвередж);</w:t>
            </w:r>
          </w:p>
          <w:p>
            <w:pPr>
              <w:spacing w:after="20"/>
              <w:ind w:left="20"/>
              <w:jc w:val="both"/>
            </w:pPr>
            <w:r>
              <w:rPr>
                <w:rFonts w:ascii="Times New Roman"/>
                <w:b w:val="false"/>
                <w:i w:val="false"/>
                <w:color w:val="000000"/>
                <w:sz w:val="20"/>
              </w:rPr>
              <w:t>EURO STOXX 50 (EURO STOXX 50 Price Index) (Юроп Эс Ти Оу Экс Экс 50 Прайс Индекс);</w:t>
            </w:r>
          </w:p>
          <w:p>
            <w:pPr>
              <w:spacing w:after="20"/>
              <w:ind w:left="20"/>
              <w:jc w:val="both"/>
            </w:pPr>
            <w:r>
              <w:rPr>
                <w:rFonts w:ascii="Times New Roman"/>
                <w:b w:val="false"/>
                <w:i w:val="false"/>
                <w:color w:val="000000"/>
                <w:sz w:val="20"/>
              </w:rPr>
              <w:t>FTSE 100 (Financial Times Stock Exchange 100 Index) (Файнэншл Таймс Сток Эксчейндж 100 Индекс);</w:t>
            </w:r>
          </w:p>
          <w:p>
            <w:pPr>
              <w:spacing w:after="20"/>
              <w:ind w:left="20"/>
              <w:jc w:val="both"/>
            </w:pPr>
            <w:r>
              <w:rPr>
                <w:rFonts w:ascii="Times New Roman"/>
                <w:b w:val="false"/>
                <w:i w:val="false"/>
                <w:color w:val="000000"/>
                <w:sz w:val="20"/>
              </w:rPr>
              <w:t>HSI (Hang Seng Index) (Ханг Сенг Индекс);</w:t>
            </w:r>
          </w:p>
          <w:p>
            <w:pPr>
              <w:spacing w:after="20"/>
              <w:ind w:left="20"/>
              <w:jc w:val="both"/>
            </w:pPr>
            <w:r>
              <w:rPr>
                <w:rFonts w:ascii="Times New Roman"/>
                <w:b w:val="false"/>
                <w:i w:val="false"/>
                <w:color w:val="000000"/>
                <w:sz w:val="20"/>
              </w:rPr>
              <w:t>MSCI World Index (Morgan Stanley Capital International World Index) (Морган Стэнли Кэпитал Интернешнл Ворлд Индекс);</w:t>
            </w:r>
          </w:p>
          <w:p>
            <w:pPr>
              <w:spacing w:after="20"/>
              <w:ind w:left="20"/>
              <w:jc w:val="both"/>
            </w:pPr>
            <w:r>
              <w:rPr>
                <w:rFonts w:ascii="Times New Roman"/>
                <w:b w:val="false"/>
                <w:i w:val="false"/>
                <w:color w:val="000000"/>
                <w:sz w:val="20"/>
              </w:rPr>
              <w:t>MOEX Russia (Moscow Exchange Russia Index) (Москоу Эксчейндж Раша Индекс);</w:t>
            </w:r>
          </w:p>
          <w:p>
            <w:pPr>
              <w:spacing w:after="20"/>
              <w:ind w:left="20"/>
              <w:jc w:val="both"/>
            </w:pPr>
            <w:r>
              <w:rPr>
                <w:rFonts w:ascii="Times New Roman"/>
                <w:b w:val="false"/>
                <w:i w:val="false"/>
                <w:color w:val="000000"/>
                <w:sz w:val="20"/>
              </w:rPr>
              <w:t>NIKKEI 225 (Nikkei-225 Stock Average Index) (Никкэй-225 Сток Эвередж Индекс);</w:t>
            </w:r>
          </w:p>
          <w:p>
            <w:pPr>
              <w:spacing w:after="20"/>
              <w:ind w:left="20"/>
              <w:jc w:val="both"/>
            </w:pPr>
            <w:r>
              <w:rPr>
                <w:rFonts w:ascii="Times New Roman"/>
                <w:b w:val="false"/>
                <w:i w:val="false"/>
                <w:color w:val="000000"/>
                <w:sz w:val="20"/>
              </w:rPr>
              <w:t>RTSI (Russian Trade System Index) (Рашен Трейд Систем Индекс);</w:t>
            </w:r>
          </w:p>
          <w:p>
            <w:pPr>
              <w:spacing w:after="20"/>
              <w:ind w:left="20"/>
              <w:jc w:val="both"/>
            </w:pPr>
            <w:r>
              <w:rPr>
                <w:rFonts w:ascii="Times New Roman"/>
                <w:b w:val="false"/>
                <w:i w:val="false"/>
                <w:color w:val="000000"/>
                <w:sz w:val="20"/>
              </w:rPr>
              <w:t>S&amp;P 500 (Standard and Poor's 500 Index) (Стандард энд Пурс 500 Индекс);</w:t>
            </w:r>
          </w:p>
          <w:p>
            <w:pPr>
              <w:spacing w:after="20"/>
              <w:ind w:left="20"/>
              <w:jc w:val="both"/>
            </w:pPr>
            <w:r>
              <w:rPr>
                <w:rFonts w:ascii="Times New Roman"/>
                <w:b w:val="false"/>
                <w:i w:val="false"/>
                <w:color w:val="000000"/>
                <w:sz w:val="20"/>
              </w:rPr>
              <w:t>TOPIX 100 (Tokyo Stock Price 100 Index) (Токио Сток Прайс 100 Индекс);</w:t>
            </w:r>
          </w:p>
          <w:p>
            <w:pPr>
              <w:spacing w:after="20"/>
              <w:ind w:left="20"/>
              <w:jc w:val="both"/>
            </w:pPr>
            <w:r>
              <w:rPr>
                <w:rFonts w:ascii="Times New Roman"/>
                <w:b w:val="false"/>
                <w:i w:val="false"/>
                <w:color w:val="000000"/>
                <w:sz w:val="20"/>
              </w:rPr>
              <w:t>NASDAQ-100 (Nasdaq-100 Index) (Насдак-100 Индекс)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