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5cb4" w14:textId="cf65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61. Зарегистрировано в Министерстве юстиции Республики Казахстан 9 апреля 2012 года № 7526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в целях совершенствования нормативных правовых актов, регулирующих порядок осуществления деятельности организатора торгов с ценными бумагами и иными финансовыми инструментами,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 5 (1602)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организаторов торгов с ценными бумагами и иными финансовыми инструментами,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следующей редакции:</w:t>
      </w:r>
      <w:r>
        <w:br/>
      </w:r>
      <w:r>
        <w:rPr>
          <w:rFonts w:ascii="Times New Roman"/>
          <w:b w:val="false"/>
          <w:i w:val="false"/>
          <w:color w:val="000000"/>
          <w:sz w:val="28"/>
        </w:rPr>
        <w:t>
      «1.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настоящих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 июля 2003 года «О рынке ценных бумаг», а также следующие понятия:</w:t>
      </w:r>
      <w:r>
        <w:br/>
      </w:r>
      <w:r>
        <w:rPr>
          <w:rFonts w:ascii="Times New Roman"/>
          <w:b w:val="false"/>
          <w:i w:val="false"/>
          <w:color w:val="000000"/>
          <w:sz w:val="28"/>
        </w:rPr>
        <w:t>
      1) информационная система котировочной организации внебиржевого рынка ценных бумаг (далее – котировочная организация) – система обмена котировками ценных бумаг, эксплуатацию и поддержание которой осуществляет котировочная организация;</w:t>
      </w:r>
      <w:r>
        <w:br/>
      </w:r>
      <w:r>
        <w:rPr>
          <w:rFonts w:ascii="Times New Roman"/>
          <w:b w:val="false"/>
          <w:i w:val="false"/>
          <w:color w:val="000000"/>
          <w:sz w:val="28"/>
        </w:rPr>
        <w:t>
      2) котировка двусторонняя – котировка, включающая в себя как цену покупки, так и цену продажи финансового инструмента;</w:t>
      </w:r>
      <w:r>
        <w:br/>
      </w:r>
      <w:r>
        <w:rPr>
          <w:rFonts w:ascii="Times New Roman"/>
          <w:b w:val="false"/>
          <w:i w:val="false"/>
          <w:color w:val="000000"/>
          <w:sz w:val="28"/>
        </w:rPr>
        <w:t>
      3) котировка индикативная – котировка, не накладывающая на объявившего ее члена (клиента) организатора торгов обязательство заключить сделку на основании данной котировки и подразумевающая, что объявивший ее член (клиент) организатора торгов заключает сделку на основании данной котировки по результатам переговоров с другим членом (клиентом) организатора торгов с правом изменения данной котировки и отказом от заключения сделки на основании данной котировки;</w:t>
      </w:r>
      <w:r>
        <w:br/>
      </w:r>
      <w:r>
        <w:rPr>
          <w:rFonts w:ascii="Times New Roman"/>
          <w:b w:val="false"/>
          <w:i w:val="false"/>
          <w:color w:val="000000"/>
          <w:sz w:val="28"/>
        </w:rPr>
        <w:t>
      4) исполнение сделки с финансовым инструментом (исполнение сделки) – осуществление расчетов по сделке с финансовым инструментом путем исполнения сторонами этой сделки вытекающих из нее обязательств;</w:t>
      </w:r>
      <w:r>
        <w:br/>
      </w:r>
      <w:r>
        <w:rPr>
          <w:rFonts w:ascii="Times New Roman"/>
          <w:b w:val="false"/>
          <w:i w:val="false"/>
          <w:color w:val="000000"/>
          <w:sz w:val="28"/>
        </w:rPr>
        <w:t>
      5) котировка твердая – котировка, накладывающая на объявившего ее члена (клиента) организатора торгов обязательство заключить сделку на основании данной котировки;</w:t>
      </w:r>
      <w:r>
        <w:br/>
      </w:r>
      <w:r>
        <w:rPr>
          <w:rFonts w:ascii="Times New Roman"/>
          <w:b w:val="false"/>
          <w:i w:val="false"/>
          <w:color w:val="000000"/>
          <w:sz w:val="28"/>
        </w:rPr>
        <w:t>
      6) система подтверждения фондовой биржи (система подтверждения) – программно – технический комплекс фондовой биржи, позволяющий подключенным к нему лицам получать сведения о сделках с финансовыми инструментами, заключаемых или заключенных в торговой системе от имени данных лиц, по поручению данных лиц либо в интересах данных лиц или их клиентов, и на основе обработки полученных сведений передавать фондовой бирже подтверждения таких сделок (сообщения о соответствии условий заключаемых или заключенных сделок условиям, на которых или при которых такие сделки должны или могли быть заключены) либо отказы от подтверждения таких сделок;</w:t>
      </w:r>
      <w:r>
        <w:br/>
      </w:r>
      <w:r>
        <w:rPr>
          <w:rFonts w:ascii="Times New Roman"/>
          <w:b w:val="false"/>
          <w:i w:val="false"/>
          <w:color w:val="000000"/>
          <w:sz w:val="28"/>
        </w:rPr>
        <w:t>
      7) официальный список фондовой биржи (официальный список) – часть списка фондовой биржи, для включения в который и нахождения в котором финансовые инструменты и эмитенты данных финансовых инструментов должны соответствовать листинговым требованиям;</w:t>
      </w:r>
      <w:r>
        <w:br/>
      </w:r>
      <w:r>
        <w:rPr>
          <w:rFonts w:ascii="Times New Roman"/>
          <w:b w:val="false"/>
          <w:i w:val="false"/>
          <w:color w:val="000000"/>
          <w:sz w:val="28"/>
        </w:rPr>
        <w:t>
      8) лот – это:</w:t>
      </w:r>
      <w:r>
        <w:br/>
      </w:r>
      <w:r>
        <w:rPr>
          <w:rFonts w:ascii="Times New Roman"/>
          <w:b w:val="false"/>
          <w:i w:val="false"/>
          <w:color w:val="000000"/>
          <w:sz w:val="28"/>
        </w:rPr>
        <w:t>
      единица торговли финансовым инструментом;</w:t>
      </w:r>
      <w:r>
        <w:br/>
      </w:r>
      <w:r>
        <w:rPr>
          <w:rFonts w:ascii="Times New Roman"/>
          <w:b w:val="false"/>
          <w:i w:val="false"/>
          <w:color w:val="000000"/>
          <w:sz w:val="28"/>
        </w:rPr>
        <w:t>
      количество финансового инструмента, которому равен или кратен размер заявки по данному финансовому инструменту;</w:t>
      </w:r>
      <w:r>
        <w:br/>
      </w:r>
      <w:r>
        <w:rPr>
          <w:rFonts w:ascii="Times New Roman"/>
          <w:b w:val="false"/>
          <w:i w:val="false"/>
          <w:color w:val="000000"/>
          <w:sz w:val="28"/>
        </w:rPr>
        <w:t>
      9) маркет–мейкер – член фондовой биржи, признанный фондовой биржей в качестве маркет–мейкера и принявший на себя обязательство объявлять и поддерживать котировки по финансовому инструменту в соответствии с внутренними документами фондовой биржи;</w:t>
      </w:r>
      <w:r>
        <w:br/>
      </w:r>
      <w:r>
        <w:rPr>
          <w:rFonts w:ascii="Times New Roman"/>
          <w:b w:val="false"/>
          <w:i w:val="false"/>
          <w:color w:val="000000"/>
          <w:sz w:val="28"/>
        </w:rPr>
        <w:t>
      10) инициатор допуска – организация, по инициативе которой финансовые инструменты допускаются к обращению в торговой системе фондовой биржи или в информационной системе котировочной организации;</w:t>
      </w:r>
      <w:r>
        <w:br/>
      </w:r>
      <w:r>
        <w:rPr>
          <w:rFonts w:ascii="Times New Roman"/>
          <w:b w:val="false"/>
          <w:i w:val="false"/>
          <w:color w:val="000000"/>
          <w:sz w:val="28"/>
        </w:rPr>
        <w:t>
      11) торговая площадка – часть торговой системы фондовой биржи, отличающаяся от ее других частей специфическими требованиями к участникам торгов и обращающимся финансовым инструментам, а также условиями заключения сделок с финансовыми инструментами и их исполнения;</w:t>
      </w:r>
      <w:r>
        <w:br/>
      </w:r>
      <w:r>
        <w:rPr>
          <w:rFonts w:ascii="Times New Roman"/>
          <w:b w:val="false"/>
          <w:i w:val="false"/>
          <w:color w:val="000000"/>
          <w:sz w:val="28"/>
        </w:rPr>
        <w:t>
      12) торговый день – установленный фондовой биржей период для всех финансовых инструментов или для их отдельных групп в пределах календарного дня, в течение которого могут заключаться сделки с финансовыми инструментами в ее торговой системе;</w:t>
      </w:r>
      <w:r>
        <w:br/>
      </w:r>
      <w:r>
        <w:rPr>
          <w:rFonts w:ascii="Times New Roman"/>
          <w:b w:val="false"/>
          <w:i w:val="false"/>
          <w:color w:val="000000"/>
          <w:sz w:val="28"/>
        </w:rPr>
        <w:t>
      13) обращение в торговой системе – возможность того или иного финансового инструмента быть предметом сделки, заключаемой в торговой системе фондовой биржи;</w:t>
      </w:r>
      <w:r>
        <w:br/>
      </w:r>
      <w:r>
        <w:rPr>
          <w:rFonts w:ascii="Times New Roman"/>
          <w:b w:val="false"/>
          <w:i w:val="false"/>
          <w:color w:val="000000"/>
          <w:sz w:val="28"/>
        </w:rPr>
        <w:t>
      14) участник торгов – член фондовой биржи, допущенный к заключению сделок с использованием торговой системы данной фондовой биржи и принимающий участие в организованных ею торгах;</w:t>
      </w:r>
      <w:r>
        <w:br/>
      </w:r>
      <w:r>
        <w:rPr>
          <w:rFonts w:ascii="Times New Roman"/>
          <w:b w:val="false"/>
          <w:i w:val="false"/>
          <w:color w:val="000000"/>
          <w:sz w:val="28"/>
        </w:rPr>
        <w:t>
      15) организатор торгов – фондовая биржа и котировочная организация;</w:t>
      </w:r>
      <w:r>
        <w:br/>
      </w:r>
      <w:r>
        <w:rPr>
          <w:rFonts w:ascii="Times New Roman"/>
          <w:b w:val="false"/>
          <w:i w:val="false"/>
          <w:color w:val="000000"/>
          <w:sz w:val="28"/>
        </w:rPr>
        <w:t>
      16) торговая сессия – часть торгового дня;</w:t>
      </w:r>
      <w:r>
        <w:br/>
      </w:r>
      <w:r>
        <w:rPr>
          <w:rFonts w:ascii="Times New Roman"/>
          <w:b w:val="false"/>
          <w:i w:val="false"/>
          <w:color w:val="000000"/>
          <w:sz w:val="28"/>
        </w:rPr>
        <w:t>
      17) поставка против платежа – метод исполнения сделок с финансовыми инструментами,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w:t>
      </w:r>
      <w:r>
        <w:br/>
      </w:r>
      <w:r>
        <w:rPr>
          <w:rFonts w:ascii="Times New Roman"/>
          <w:b w:val="false"/>
          <w:i w:val="false"/>
          <w:color w:val="000000"/>
          <w:sz w:val="28"/>
        </w:rPr>
        <w:t>
      18) трейдер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r>
        <w:br/>
      </w:r>
      <w:r>
        <w:rPr>
          <w:rFonts w:ascii="Times New Roman"/>
          <w:b w:val="false"/>
          <w:i w:val="false"/>
          <w:color w:val="000000"/>
          <w:sz w:val="28"/>
        </w:rPr>
        <w:t>
      19)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r>
        <w:br/>
      </w:r>
      <w:r>
        <w:rPr>
          <w:rFonts w:ascii="Times New Roman"/>
          <w:b w:val="false"/>
          <w:i w:val="false"/>
          <w:color w:val="000000"/>
          <w:sz w:val="28"/>
        </w:rPr>
        <w:t>
      «2. Члены (клиенты) организатора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w:t>
      </w:r>
      <w:r>
        <w:br/>
      </w:r>
      <w:r>
        <w:rPr>
          <w:rFonts w:ascii="Times New Roman"/>
          <w:b w:val="false"/>
          <w:i w:val="false"/>
          <w:color w:val="000000"/>
          <w:sz w:val="28"/>
        </w:rPr>
        <w:t>
      Клиентами котировочной организации являются только профессиональные участники рынка ценных бумаг.</w:t>
      </w:r>
      <w:r>
        <w:br/>
      </w:r>
      <w:r>
        <w:rPr>
          <w:rFonts w:ascii="Times New Roman"/>
          <w:b w:val="false"/>
          <w:i w:val="false"/>
          <w:color w:val="000000"/>
          <w:sz w:val="28"/>
        </w:rPr>
        <w:t>
      Условия и порядок вступления в члены фондовой биржи (приема в клиенты котировочной организации) определяются ее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Брокер и (или) дилер – член организатора торгов уведомляет организатора торгов о любых санкциях и ограниченных мерах воздействия, принятых уполномоченным органом по отношению к этому брокеру и (или) дилеру и (или) его работникам.»;</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Трейдеры»;</w:t>
      </w:r>
      <w:r>
        <w:br/>
      </w:r>
      <w:r>
        <w:rPr>
          <w:rFonts w:ascii="Times New Roman"/>
          <w:b w:val="false"/>
          <w:i w:val="false"/>
          <w:color w:val="000000"/>
          <w:sz w:val="28"/>
        </w:rPr>
        <w:t>
      «4. Ценные бумаги и иные финансовые инструменты, включенные в список организатора торгов»;</w:t>
      </w:r>
      <w:r>
        <w:br/>
      </w:r>
      <w:r>
        <w:rPr>
          <w:rFonts w:ascii="Times New Roman"/>
          <w:b w:val="false"/>
          <w:i w:val="false"/>
          <w:color w:val="000000"/>
          <w:sz w:val="28"/>
        </w:rPr>
        <w:t>
      «5. Торговая система фондовой биржи и информационная система котировочной организации»;</w:t>
      </w:r>
      <w:r>
        <w:br/>
      </w:r>
      <w:r>
        <w:rPr>
          <w:rFonts w:ascii="Times New Roman"/>
          <w:b w:val="false"/>
          <w:i w:val="false"/>
          <w:color w:val="000000"/>
          <w:sz w:val="28"/>
        </w:rPr>
        <w:t>
</w:t>
      </w:r>
      <w:r>
        <w:rPr>
          <w:rFonts w:ascii="Times New Roman"/>
          <w:b w:val="false"/>
          <w:i w:val="false"/>
          <w:color w:val="000000"/>
          <w:sz w:val="28"/>
        </w:rPr>
        <w:t>
      дополнить пунктом 29-1 следующего содержания:</w:t>
      </w:r>
      <w:r>
        <w:br/>
      </w:r>
      <w:r>
        <w:rPr>
          <w:rFonts w:ascii="Times New Roman"/>
          <w:b w:val="false"/>
          <w:i w:val="false"/>
          <w:color w:val="000000"/>
          <w:sz w:val="28"/>
        </w:rPr>
        <w:t>
      «29-1. Торговая система фондовой биржи позволяет отклонять заявки (отказывать в приеме заявки) в случаях, предусмотренных настоящими Правилами и внутренними документами фондовой биржи, с соответствующим уведомлением участника торгов, осуществившего подачу данной заявки.»;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Резервный центр организатора торгов»;</w:t>
      </w:r>
      <w:r>
        <w:br/>
      </w:r>
      <w:r>
        <w:rPr>
          <w:rFonts w:ascii="Times New Roman"/>
          <w:b w:val="false"/>
          <w:i w:val="false"/>
          <w:color w:val="000000"/>
          <w:sz w:val="28"/>
        </w:rPr>
        <w:t>
      «7. Проведение торгов и заключение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Заключение сделок с финансовыми инструментами на проводимых фондовой биржей торгах производится их участниками в соответствии с порядком, установленным внутренними документами фондовой биржи, которые, в том числе содержат указания на методы торгов, допускаемые к использованию в отношении определенного финансового инструмента или на определенной площадке.»;</w:t>
      </w:r>
      <w:r>
        <w:br/>
      </w:r>
      <w:r>
        <w:rPr>
          <w:rFonts w:ascii="Times New Roman"/>
          <w:b w:val="false"/>
          <w:i w:val="false"/>
          <w:color w:val="000000"/>
          <w:sz w:val="28"/>
        </w:rPr>
        <w:t>
</w:t>
      </w:r>
      <w:r>
        <w:rPr>
          <w:rFonts w:ascii="Times New Roman"/>
          <w:b w:val="false"/>
          <w:i w:val="false"/>
          <w:color w:val="000000"/>
          <w:sz w:val="28"/>
        </w:rPr>
        <w:t>
      дополнить пунктом 34-1 следующего содержания:</w:t>
      </w:r>
      <w:r>
        <w:br/>
      </w:r>
      <w:r>
        <w:rPr>
          <w:rFonts w:ascii="Times New Roman"/>
          <w:b w:val="false"/>
          <w:i w:val="false"/>
          <w:color w:val="000000"/>
          <w:sz w:val="28"/>
        </w:rPr>
        <w:t>
      «34-1. В торгах с государственными ценными бумагами Республики Казахстан при их первичном размещении участвуют члены фондовой биржи, соответствующей категории членства, являющиеся банками второго уровня, накопительными пенсионными фондами или организациями, осуществляющими инвестиционное управление пенсионными активами, обладающими лицензиями на осуществление брокерской и (или) дилерской деятельности. Банк второго уровня, являющийся брокером, выступает в качестве брокера в указанных торгах при условии совершения сделок по поручению, за счет и в интересах клиентов, являющихся банками второго уровня, накопительными пенсионными фондами, страховыми организациями, имеющими лицензию по отрасли «страхование жизни» или организациями, осуществляющими инвестиционное управление пенсионными активами. Организации, осуществляющие инвестиционное управление пенсионными активами, участвуют в торгах только за счет и в интересах накопительного пенсионного фонда.</w:t>
      </w:r>
      <w:r>
        <w:br/>
      </w:r>
      <w:r>
        <w:rPr>
          <w:rFonts w:ascii="Times New Roman"/>
          <w:b w:val="false"/>
          <w:i w:val="false"/>
          <w:color w:val="000000"/>
          <w:sz w:val="28"/>
        </w:rPr>
        <w:t>
      Фондовая биржа обеспечивает выполнение указанного в части первой настоящего пункта требования путем установления в торговой системе настроек, позволяющих автоматически отклонять заявки на приобретение государственных ценных бумаг, подаваемых не за счет активов банков второго уровня, накопительных пенсионных фондов, и (или) страховых организаций, имеющих лицензию по отрасли «страхование жизни».»;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Деятельность маркет-мейкеров»;</w:t>
      </w:r>
      <w:r>
        <w:br/>
      </w:r>
      <w:r>
        <w:rPr>
          <w:rFonts w:ascii="Times New Roman"/>
          <w:b w:val="false"/>
          <w:i w:val="false"/>
          <w:color w:val="000000"/>
          <w:sz w:val="28"/>
        </w:rPr>
        <w:t>
      «9. Условия и порядок приостановления фондовой биржей торгов с ценными бумагами»;</w:t>
      </w:r>
      <w:r>
        <w:br/>
      </w:r>
      <w:r>
        <w:rPr>
          <w:rFonts w:ascii="Times New Roman"/>
          <w:b w:val="false"/>
          <w:i w:val="false"/>
          <w:color w:val="000000"/>
          <w:sz w:val="28"/>
        </w:rPr>
        <w:t>
      «10. Подтверждение сделок с финансовыми инструментами»;</w:t>
      </w:r>
      <w:r>
        <w:br/>
      </w:r>
      <w:r>
        <w:rPr>
          <w:rFonts w:ascii="Times New Roman"/>
          <w:b w:val="false"/>
          <w:i w:val="false"/>
          <w:color w:val="000000"/>
          <w:sz w:val="28"/>
        </w:rPr>
        <w:t>
      «11. Исполнение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2. Организатору торгов в течение трех месяцев со дня введения в действие настоящего постановления привести свою деятельность и внутренние документы в соответствие с требованиями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