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d8b6" w14:textId="7bfd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марта 2006 года № 85 "Об утверждении Инструкции по требованиям к методам оценки и принципам расчета страховых тарифов по классам (видам) страхования страховых (перестраховочных)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13 февраля 2012 года № 30. Зарегистрировано в Министерстве юстиции Республики Казахстан 4 апреля 2012 года № 7520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«О страховой деятельности»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марта 2006 года № 85 «Об утверждении Инструкции по требованиям к методам оценки и принципам расчета страховых тарифов по классам (видам) страхования страховых (перестраховочных) организаций» (зарегистрированное в Реестре государственной регистрации нормативных правовых актов под № 4204)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требованиям к методам оценки и принципам расчета страховых тарифов по классам (видам) страхования страховых (перестраховочных) организаций,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глав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Основные понятия, используемые в настоящей Инструкции»;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Общие требования к расчету страховых тарифных ставок»;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Требования к методам оценки и расчета страховых тарифов»;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Требования к результатам расчета страховых тарифов, их оформлению и размещению»;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17-1, 17-2 и 17-3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«17-1. Страховая (перестраховочная) организация размещает на интернет-ресурсе или в месте, доступном для обозрения клиентами, информацию о размерах страховых тарифов по классам страхования, включая, но не ограничиваясь информацией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базовых, минимальных базовых и максимальных базовых размерах страхового тарифа;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коэффициентах дифференциации;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таблице распределения страховых тарифов (размеров страховых премий) в зависимости от категории страхователей (застрахованных) и принимаемых на страхование страховых рисков в соответствии с принятой классификацией.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подпункта 3) настоящего пункта не распространяются на страховые организации, осуществляющие страховую деятельность в отрасли «страхование жизни».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17-2. Для размещения информации, указанной в пункте 17-1 настоящей Инструкции, используются собственный интернет-ресурс страховой (перестраховочной) организации или помещения в головном офисе и филиалах страховой (перестраховочной) организации, а также помещения страхового агента (юридического лица), в которые имеют свободный доступ клиенты страховой (перестраховочной)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17-3. Информация, указанная в пункте 17-1 настоящей Инструкции, размещается на государственном и русском языках с указанием даты и времени, по состоянию на которые данная информация составлена, и периода ее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пересмотра страховой (перестраховочной) организацией размеров страховых тарифов по классам страхования, страховая (перестраховочная) организация в течение трех рабочих дней с даты их утверждения актуарием, обновляет соответствующую информацию на своем интернет-ресурсе и (или) в месте, доступном для обозрения клиентами.»;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Заключительные положения».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Национального Банка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