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ffd0" w14:textId="54bf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62. Зарегистрировано в Министерстве юстиции 2 апреля 2012 года № 7507.</w:t>
      </w:r>
    </w:p>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234 "Об утверждении Правил совершения сделок с собственными облигациями банка и облигациями, выпущенными дочерними организациями данного банка, обязательства по которым гарантированы банком" (зарегистрированное в Реестре государственной регистрации нормативных правовых актов под № 5537).</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совершения банком или банковским холдингом сделок с собственными облигациями и облигациями, выпущенными дочерними</w:t>
      </w:r>
      <w:r>
        <w:br/>
      </w:r>
      <w:r>
        <w:rPr>
          <w:rFonts w:ascii="Times New Roman"/>
          <w:b/>
          <w:i w:val="false"/>
          <w:color w:val="000000"/>
        </w:rPr>
        <w:t>организациями данного банка или банковского холдинга, обязательства по которым гарантированы банком или банковским</w:t>
      </w:r>
      <w:r>
        <w:br/>
      </w:r>
      <w:r>
        <w:rPr>
          <w:rFonts w:ascii="Times New Roman"/>
          <w:b/>
          <w:i w:val="false"/>
          <w:color w:val="000000"/>
        </w:rPr>
        <w:t>холдингом</w:t>
      </w:r>
    </w:p>
    <w:bookmarkEnd w:id="4"/>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и определяют порядок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Решение о совершении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 принимается советом директоров банка или банковского холдинга (или наблюдательным советом в случае создания банковского холдинга в организационно-правовой форме товарищества с ограниченной ответственностью) в соответствии с внутренними документами. В решении указывается цена и объем приобретения облигаций.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К решению совета директоров банка прилагается заключение подразделения по управлению рисками, в котором указывается оценка позиции банка по риску потери ликвидности и процентному риску после приобретения облигаций, а также соблюдение других требований внутренней политики и процедур, утвержденных советом директоров банка.</w:t>
      </w:r>
    </w:p>
    <w:bookmarkEnd w:id="7"/>
    <w:bookmarkStart w:name="z10" w:id="8"/>
    <w:p>
      <w:pPr>
        <w:spacing w:after="0"/>
        <w:ind w:left="0"/>
        <w:jc w:val="both"/>
      </w:pPr>
      <w:r>
        <w:rPr>
          <w:rFonts w:ascii="Times New Roman"/>
          <w:b w:val="false"/>
          <w:i w:val="false"/>
          <w:color w:val="000000"/>
          <w:sz w:val="28"/>
        </w:rPr>
        <w:t xml:space="preserve">
      3. К решению совета директоров банковского холдинга (или наблюдательного совета в случае создания банковского холдинга в организационно-правовой форме товарищества с ограниченной ответственностью) прилагается заключение подразделения по управлению рисками, в котором указывается оценка позиции банковского холдинга по риску, связанному с инвестициями, а также влияние произведенных инвестиций на соблюдение банковским конгломератом пруденциальных нормативов,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 Закона.</w:t>
      </w:r>
    </w:p>
    <w:bookmarkEnd w:id="8"/>
    <w:bookmarkStart w:name="z11" w:id="9"/>
    <w:p>
      <w:pPr>
        <w:spacing w:after="0"/>
        <w:ind w:left="0"/>
        <w:jc w:val="both"/>
      </w:pPr>
      <w:r>
        <w:rPr>
          <w:rFonts w:ascii="Times New Roman"/>
          <w:b w:val="false"/>
          <w:i w:val="false"/>
          <w:color w:val="000000"/>
          <w:sz w:val="28"/>
        </w:rPr>
        <w:t>
      4. Сделки по приобретению облигаций осуществляются по справедливой рыночной цене, сложившейся на дату приобретения облигаций.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25.02.2013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Информация о приобретенных банком или банковским холдингом собственных облигациях и облигациях дочерних организаций данного банка или банковского холдинга, обязательства по которым гарантированы банком или банковским холдингом (далее – информация) составляется на бумажном носителе по форме, установленной внутренними документами банка или банковского холдинга, подписывается первым руководителем банка или банковского холдинга или лицом, уполномоченным на подписание информации, главным бухгалтером банка или банковского холдинга и хранится в банке или банковском холдинге в течение 5 (пяти) лет со дня составления данной информации.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27.08.2018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